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6EB7" w:rsidRPr="00AF2873" w:rsidRDefault="00C56EB7" w:rsidP="00C56EB7">
      <w:pPr>
        <w:jc w:val="right"/>
        <w:rPr>
          <w:rFonts w:ascii="Arial" w:hAnsi="Arial" w:cs="Arial"/>
          <w:lang w:val="es-MX"/>
        </w:rPr>
      </w:pPr>
      <w:r>
        <w:rPr>
          <w:rFonts w:ascii="Arial" w:hAnsi="Arial" w:cs="Arial"/>
          <w:lang w:val="es-MX"/>
        </w:rPr>
        <w:t>FORMATO 20</w:t>
      </w:r>
    </w:p>
    <w:p w:rsidR="00C56EB7" w:rsidRPr="00F012D5" w:rsidRDefault="00C56EB7" w:rsidP="00C56EB7">
      <w:pPr>
        <w:pStyle w:val="Textoindependiente"/>
        <w:tabs>
          <w:tab w:val="left" w:pos="1245"/>
          <w:tab w:val="right" w:pos="7308"/>
        </w:tabs>
        <w:jc w:val="right"/>
        <w:rPr>
          <w:rFonts w:ascii="Arial" w:hAnsi="Arial" w:cs="Arial"/>
          <w:i/>
        </w:rPr>
      </w:pPr>
      <w:r w:rsidRPr="009D707D">
        <w:rPr>
          <w:rFonts w:ascii="Arial" w:hAnsi="Arial" w:cs="Arial"/>
        </w:rPr>
        <w:t>_________</w:t>
      </w:r>
      <w:proofErr w:type="gramStart"/>
      <w:r w:rsidRPr="009D707D">
        <w:rPr>
          <w:rFonts w:ascii="Arial" w:hAnsi="Arial" w:cs="Arial"/>
        </w:rPr>
        <w:t>_</w:t>
      </w:r>
      <w:r w:rsidRPr="009D707D">
        <w:rPr>
          <w:rFonts w:ascii="Arial" w:hAnsi="Arial" w:cs="Arial"/>
          <w:i/>
        </w:rPr>
        <w:t>(</w:t>
      </w:r>
      <w:proofErr w:type="gramEnd"/>
      <w:r w:rsidRPr="009D707D">
        <w:rPr>
          <w:rFonts w:ascii="Arial" w:hAnsi="Arial" w:cs="Arial"/>
          <w:i/>
        </w:rPr>
        <w:t>1.1)</w:t>
      </w:r>
      <w:r w:rsidRPr="009D707D">
        <w:rPr>
          <w:rFonts w:ascii="Arial" w:hAnsi="Arial" w:cs="Arial"/>
        </w:rPr>
        <w:t xml:space="preserve"> No.</w:t>
      </w:r>
      <w:r w:rsidRPr="00F012D5">
        <w:rPr>
          <w:rFonts w:ascii="Arial" w:hAnsi="Arial" w:cs="Arial"/>
          <w:b/>
        </w:rPr>
        <w:t xml:space="preserve"> </w:t>
      </w:r>
      <w:r w:rsidRPr="00F012D5">
        <w:rPr>
          <w:rFonts w:ascii="Arial" w:hAnsi="Arial" w:cs="Arial"/>
          <w:i/>
        </w:rPr>
        <w:t>_</w:t>
      </w:r>
      <w:r>
        <w:rPr>
          <w:rFonts w:ascii="Arial" w:hAnsi="Arial" w:cs="Arial"/>
          <w:i/>
        </w:rPr>
        <w:t>______</w:t>
      </w:r>
      <w:r w:rsidRPr="00F012D5">
        <w:rPr>
          <w:rFonts w:ascii="Arial" w:hAnsi="Arial" w:cs="Arial"/>
          <w:i/>
        </w:rPr>
        <w:t>__</w:t>
      </w:r>
      <w:proofErr w:type="gramStart"/>
      <w:r w:rsidRPr="00F012D5">
        <w:rPr>
          <w:rFonts w:ascii="Arial" w:hAnsi="Arial" w:cs="Arial"/>
          <w:i/>
        </w:rPr>
        <w:t>_(</w:t>
      </w:r>
      <w:proofErr w:type="gramEnd"/>
      <w:r>
        <w:rPr>
          <w:rFonts w:ascii="Arial" w:hAnsi="Arial" w:cs="Arial"/>
          <w:i/>
        </w:rPr>
        <w:t>1.2</w:t>
      </w:r>
      <w:r w:rsidRPr="00F012D5">
        <w:rPr>
          <w:rFonts w:ascii="Arial" w:hAnsi="Arial" w:cs="Arial"/>
          <w:i/>
        </w:rPr>
        <w:t>)</w:t>
      </w:r>
    </w:p>
    <w:p w:rsidR="00C56EB7" w:rsidRDefault="00C56EB7" w:rsidP="00C56EB7">
      <w:pPr>
        <w:jc w:val="right"/>
        <w:rPr>
          <w:rFonts w:ascii="Arial" w:hAnsi="Arial" w:cs="Arial"/>
        </w:rPr>
      </w:pPr>
      <w:r>
        <w:rPr>
          <w:rFonts w:ascii="Arial" w:hAnsi="Arial" w:cs="Arial"/>
        </w:rPr>
        <w:t>________</w:t>
      </w:r>
      <w:proofErr w:type="gramStart"/>
      <w:r>
        <w:rPr>
          <w:rFonts w:ascii="Arial" w:hAnsi="Arial" w:cs="Arial"/>
        </w:rPr>
        <w:t>_(</w:t>
      </w:r>
      <w:proofErr w:type="gramEnd"/>
      <w:r>
        <w:rPr>
          <w:rFonts w:ascii="Arial" w:hAnsi="Arial" w:cs="Arial"/>
          <w:i/>
        </w:rPr>
        <w:t xml:space="preserve">2.1) </w:t>
      </w:r>
      <w:r>
        <w:rPr>
          <w:rFonts w:ascii="Arial" w:hAnsi="Arial" w:cs="Arial"/>
        </w:rPr>
        <w:t>, _________</w:t>
      </w:r>
      <w:r>
        <w:rPr>
          <w:rFonts w:ascii="Arial" w:hAnsi="Arial" w:cs="Arial"/>
          <w:i/>
        </w:rPr>
        <w:t xml:space="preserve">(2.2) </w:t>
      </w:r>
      <w:r>
        <w:rPr>
          <w:rFonts w:ascii="Arial" w:hAnsi="Arial" w:cs="Arial"/>
        </w:rPr>
        <w:t>a ____ de _____ 20__</w:t>
      </w:r>
      <w:r>
        <w:rPr>
          <w:rFonts w:ascii="Arial" w:hAnsi="Arial" w:cs="Arial"/>
          <w:i/>
        </w:rPr>
        <w:t>(2.3)</w:t>
      </w:r>
    </w:p>
    <w:p w:rsidR="00703967" w:rsidRPr="00C56EB7" w:rsidRDefault="00703967" w:rsidP="00A77A9C">
      <w:pPr>
        <w:jc w:val="both"/>
        <w:rPr>
          <w:rFonts w:ascii="Arial" w:hAnsi="Arial" w:cs="Arial"/>
          <w:b/>
          <w:lang w:val="es-MX"/>
        </w:rPr>
      </w:pPr>
    </w:p>
    <w:p w:rsidR="00A77A9C" w:rsidRPr="003E2FF7" w:rsidRDefault="00A77A9C" w:rsidP="00A77A9C">
      <w:pPr>
        <w:jc w:val="center"/>
        <w:rPr>
          <w:rFonts w:ascii="Arial" w:hAnsi="Arial" w:cs="Arial"/>
          <w:b/>
        </w:rPr>
      </w:pPr>
      <w:r w:rsidRPr="003E2FF7">
        <w:rPr>
          <w:rFonts w:ascii="Arial" w:hAnsi="Arial" w:cs="Arial"/>
          <w:b/>
        </w:rPr>
        <w:t>Nota informativa para participantes de países miembros de la Organización para la Cooperación y el Desarrollo Económico. (OCDE)</w:t>
      </w:r>
    </w:p>
    <w:p w:rsidR="00A77A9C" w:rsidRPr="003E2FF7" w:rsidRDefault="00A77A9C" w:rsidP="00A77A9C">
      <w:pPr>
        <w:jc w:val="both"/>
        <w:rPr>
          <w:rFonts w:ascii="Arial" w:hAnsi="Arial" w:cs="Arial"/>
        </w:rPr>
      </w:pPr>
    </w:p>
    <w:p w:rsidR="00A77A9C" w:rsidRPr="003E2FF7" w:rsidRDefault="00A77A9C" w:rsidP="00A77A9C">
      <w:pPr>
        <w:jc w:val="both"/>
        <w:rPr>
          <w:rFonts w:ascii="Arial" w:hAnsi="Arial" w:cs="Arial"/>
        </w:rPr>
      </w:pPr>
      <w:r w:rsidRPr="003E2FF7">
        <w:rPr>
          <w:rFonts w:ascii="Arial" w:hAnsi="Arial" w:cs="Arial"/>
        </w:rPr>
        <w:t>El compromiso de México en el combate a la corrupción ha trascendido nuestras front</w:t>
      </w:r>
      <w:r>
        <w:rPr>
          <w:rFonts w:ascii="Arial" w:hAnsi="Arial" w:cs="Arial"/>
        </w:rPr>
        <w:t>eras y el ámbito de acción del Gobierno F</w:t>
      </w:r>
      <w:r w:rsidRPr="003E2FF7">
        <w:rPr>
          <w:rFonts w:ascii="Arial" w:hAnsi="Arial" w:cs="Arial"/>
        </w:rPr>
        <w:t xml:space="preserve">ederal. En el plano internacional y como miembro de la Organización para la Cooperación y el desarrollo Económico (OCDE) y firmante de la </w:t>
      </w:r>
      <w:r w:rsidRPr="003E2FF7">
        <w:rPr>
          <w:rFonts w:ascii="Arial" w:hAnsi="Arial" w:cs="Arial"/>
          <w:b/>
        </w:rPr>
        <w:t>Convención para combatir el cohecho de servidores públicos extranjeros en transacciones comerciales internacionales</w:t>
      </w:r>
      <w:r w:rsidRPr="003E2FF7">
        <w:rPr>
          <w:rFonts w:ascii="Arial" w:hAnsi="Arial" w:cs="Arial"/>
        </w:rPr>
        <w:t>, hemos adquirido responsabilidades que involucran a los sectores público y privado.</w:t>
      </w:r>
    </w:p>
    <w:p w:rsidR="00A77A9C" w:rsidRPr="003E2FF7" w:rsidRDefault="00A77A9C" w:rsidP="00A77A9C">
      <w:pPr>
        <w:jc w:val="both"/>
        <w:rPr>
          <w:rFonts w:ascii="Arial" w:hAnsi="Arial" w:cs="Arial"/>
        </w:rPr>
      </w:pPr>
    </w:p>
    <w:p w:rsidR="00A77A9C" w:rsidRPr="003E2FF7" w:rsidRDefault="00A77A9C" w:rsidP="00A77A9C">
      <w:pPr>
        <w:jc w:val="both"/>
        <w:rPr>
          <w:rFonts w:ascii="Arial" w:hAnsi="Arial" w:cs="Arial"/>
        </w:rPr>
      </w:pPr>
      <w:r w:rsidRPr="003E2FF7">
        <w:rPr>
          <w:rFonts w:ascii="Arial" w:hAnsi="Arial" w:cs="Arial"/>
        </w:rPr>
        <w:t>Esta Convención busca establecer medidas para prevenir y penalizar a las personas y a las empresas que prometan o den gratificaciones a funcionarios públicos extranjeros que participan en transacciones comerciales internacionales. Su objetivo es eliminar la competencia desleal y crear igualdad de oportunidades para las empresas que compiten por las contrataciones gubernamentales.</w:t>
      </w:r>
    </w:p>
    <w:p w:rsidR="00A77A9C" w:rsidRPr="003E2FF7" w:rsidRDefault="00A77A9C" w:rsidP="00A77A9C">
      <w:pPr>
        <w:jc w:val="both"/>
        <w:rPr>
          <w:rFonts w:ascii="Arial" w:hAnsi="Arial" w:cs="Arial"/>
        </w:rPr>
      </w:pPr>
    </w:p>
    <w:p w:rsidR="00A77A9C" w:rsidRPr="003E2FF7" w:rsidRDefault="00A77A9C" w:rsidP="00A77A9C">
      <w:pPr>
        <w:jc w:val="both"/>
        <w:rPr>
          <w:rFonts w:ascii="Arial" w:hAnsi="Arial" w:cs="Arial"/>
        </w:rPr>
      </w:pPr>
      <w:r w:rsidRPr="003E2FF7">
        <w:rPr>
          <w:rFonts w:ascii="Arial" w:hAnsi="Arial" w:cs="Arial"/>
        </w:rPr>
        <w:t>La OCDE ha establecido mecanismos muy claros para que los países firmantes de la Convención cumplan con las recomendaciones emitidas por ésta en caso de México, iniciará en Noviembre de 2003 una segunda fase de evaluación  - la primera fase ya fue aprobada-  en donde un grupo de expertos verificará, entre otros:</w:t>
      </w:r>
    </w:p>
    <w:p w:rsidR="00A77A9C" w:rsidRPr="003E2FF7" w:rsidRDefault="00A77A9C" w:rsidP="00A77A9C">
      <w:pPr>
        <w:numPr>
          <w:ilvl w:val="0"/>
          <w:numId w:val="2"/>
        </w:numPr>
        <w:jc w:val="both"/>
        <w:rPr>
          <w:rFonts w:ascii="Arial" w:hAnsi="Arial" w:cs="Arial"/>
        </w:rPr>
      </w:pPr>
      <w:r w:rsidRPr="003E2FF7">
        <w:rPr>
          <w:rFonts w:ascii="Arial" w:hAnsi="Arial" w:cs="Arial"/>
        </w:rPr>
        <w:t>La compatibilidad de nuestro marco jurídico con las disposiciones de la Convención.</w:t>
      </w:r>
    </w:p>
    <w:p w:rsidR="00A77A9C" w:rsidRPr="003E2FF7" w:rsidRDefault="00A77A9C" w:rsidP="00A77A9C">
      <w:pPr>
        <w:numPr>
          <w:ilvl w:val="0"/>
          <w:numId w:val="2"/>
        </w:numPr>
        <w:jc w:val="both"/>
        <w:rPr>
          <w:rFonts w:ascii="Arial" w:hAnsi="Arial" w:cs="Arial"/>
        </w:rPr>
      </w:pPr>
      <w:r w:rsidRPr="003E2FF7">
        <w:rPr>
          <w:rFonts w:ascii="Arial" w:hAnsi="Arial" w:cs="Arial"/>
        </w:rPr>
        <w:t>El conocimiento que tengan los sect</w:t>
      </w:r>
      <w:r>
        <w:rPr>
          <w:rFonts w:ascii="Arial" w:hAnsi="Arial" w:cs="Arial"/>
        </w:rPr>
        <w:t>ores público</w:t>
      </w:r>
      <w:r w:rsidRPr="003E2FF7">
        <w:rPr>
          <w:rFonts w:ascii="Arial" w:hAnsi="Arial" w:cs="Arial"/>
        </w:rPr>
        <w:t xml:space="preserve"> y privado de las recomendaciones de la Convención.</w:t>
      </w:r>
    </w:p>
    <w:p w:rsidR="00A77A9C" w:rsidRPr="003E2FF7" w:rsidRDefault="00A77A9C" w:rsidP="00A77A9C">
      <w:pPr>
        <w:jc w:val="both"/>
        <w:rPr>
          <w:rFonts w:ascii="Arial" w:hAnsi="Arial" w:cs="Arial"/>
        </w:rPr>
      </w:pPr>
    </w:p>
    <w:p w:rsidR="00A77A9C" w:rsidRPr="003E2FF7" w:rsidRDefault="00A77A9C" w:rsidP="00A77A9C">
      <w:pPr>
        <w:jc w:val="both"/>
        <w:rPr>
          <w:rFonts w:ascii="Arial" w:hAnsi="Arial" w:cs="Arial"/>
        </w:rPr>
      </w:pPr>
      <w:r w:rsidRPr="003E2FF7">
        <w:rPr>
          <w:rFonts w:ascii="Arial" w:hAnsi="Arial" w:cs="Arial"/>
        </w:rPr>
        <w:t>El resultado de esta evaluación impactará el grado de inversión otorgado a México por las agencias calificadores y la atracción de inversión extranjera.</w:t>
      </w:r>
    </w:p>
    <w:p w:rsidR="00A77A9C" w:rsidRPr="003E2FF7" w:rsidRDefault="00A77A9C" w:rsidP="00A77A9C">
      <w:pPr>
        <w:jc w:val="both"/>
        <w:rPr>
          <w:rFonts w:ascii="Arial" w:hAnsi="Arial" w:cs="Arial"/>
        </w:rPr>
      </w:pPr>
    </w:p>
    <w:p w:rsidR="00A77A9C" w:rsidRPr="003E2FF7" w:rsidRDefault="00A77A9C" w:rsidP="00A77A9C">
      <w:pPr>
        <w:jc w:val="both"/>
        <w:rPr>
          <w:rFonts w:ascii="Arial" w:hAnsi="Arial" w:cs="Arial"/>
        </w:rPr>
      </w:pPr>
      <w:r w:rsidRPr="003E2FF7">
        <w:rPr>
          <w:rFonts w:ascii="Arial" w:hAnsi="Arial" w:cs="Arial"/>
        </w:rPr>
        <w:t>Las responsabilidades del sector público se centran en:</w:t>
      </w:r>
    </w:p>
    <w:p w:rsidR="00A77A9C" w:rsidRPr="003E2FF7" w:rsidRDefault="00A77A9C" w:rsidP="00A77A9C">
      <w:pPr>
        <w:numPr>
          <w:ilvl w:val="0"/>
          <w:numId w:val="3"/>
        </w:numPr>
        <w:jc w:val="both"/>
        <w:rPr>
          <w:rFonts w:ascii="Arial" w:hAnsi="Arial" w:cs="Arial"/>
        </w:rPr>
      </w:pPr>
      <w:r w:rsidRPr="003E2FF7">
        <w:rPr>
          <w:rFonts w:ascii="Arial" w:hAnsi="Arial" w:cs="Arial"/>
        </w:rPr>
        <w:t>Profundizar las reformas legales que inició en 1999.</w:t>
      </w:r>
    </w:p>
    <w:p w:rsidR="00A77A9C" w:rsidRPr="003E2FF7" w:rsidRDefault="00A77A9C" w:rsidP="00A77A9C">
      <w:pPr>
        <w:numPr>
          <w:ilvl w:val="0"/>
          <w:numId w:val="3"/>
        </w:numPr>
        <w:jc w:val="both"/>
        <w:rPr>
          <w:rFonts w:ascii="Arial" w:hAnsi="Arial" w:cs="Arial"/>
        </w:rPr>
      </w:pPr>
      <w:r w:rsidRPr="003E2FF7">
        <w:rPr>
          <w:rFonts w:ascii="Arial" w:hAnsi="Arial" w:cs="Arial"/>
        </w:rPr>
        <w:t>Difundir las recomendaciones de la Convención y las obligaciones de cada uno de los actores comprometidos en su cumplimiento.</w:t>
      </w:r>
    </w:p>
    <w:p w:rsidR="00A77A9C" w:rsidRPr="003E2FF7" w:rsidRDefault="00A77A9C" w:rsidP="00A77A9C">
      <w:pPr>
        <w:numPr>
          <w:ilvl w:val="0"/>
          <w:numId w:val="3"/>
        </w:numPr>
        <w:jc w:val="both"/>
        <w:rPr>
          <w:rFonts w:ascii="Arial" w:hAnsi="Arial" w:cs="Arial"/>
        </w:rPr>
      </w:pPr>
      <w:r w:rsidRPr="003E2FF7">
        <w:rPr>
          <w:rFonts w:ascii="Arial" w:hAnsi="Arial" w:cs="Arial"/>
        </w:rPr>
        <w:t xml:space="preserve">Presentar casos de cohecho en proceso y concluidos (incluyendo aquellos relacionados con el lavado de dinero y extradición) </w:t>
      </w:r>
    </w:p>
    <w:p w:rsidR="00A77A9C" w:rsidRPr="003E2FF7" w:rsidRDefault="00A77A9C" w:rsidP="00A77A9C">
      <w:pPr>
        <w:jc w:val="both"/>
        <w:rPr>
          <w:rFonts w:ascii="Arial" w:hAnsi="Arial" w:cs="Arial"/>
        </w:rPr>
      </w:pPr>
    </w:p>
    <w:p w:rsidR="00A77A9C" w:rsidRPr="003E2FF7" w:rsidRDefault="00A77A9C" w:rsidP="00A77A9C">
      <w:pPr>
        <w:jc w:val="both"/>
        <w:rPr>
          <w:rFonts w:ascii="Arial" w:hAnsi="Arial" w:cs="Arial"/>
        </w:rPr>
      </w:pPr>
      <w:r w:rsidRPr="003E2FF7">
        <w:rPr>
          <w:rFonts w:ascii="Arial" w:hAnsi="Arial" w:cs="Arial"/>
        </w:rPr>
        <w:t>Las responsabilidades del sector privado contemplan:</w:t>
      </w:r>
    </w:p>
    <w:p w:rsidR="00A77A9C" w:rsidRPr="003E2FF7" w:rsidRDefault="00A77A9C" w:rsidP="00A77A9C">
      <w:pPr>
        <w:numPr>
          <w:ilvl w:val="0"/>
          <w:numId w:val="4"/>
        </w:numPr>
        <w:jc w:val="both"/>
        <w:rPr>
          <w:rFonts w:ascii="Arial" w:hAnsi="Arial" w:cs="Arial"/>
        </w:rPr>
      </w:pPr>
      <w:r w:rsidRPr="003E2FF7">
        <w:rPr>
          <w:rFonts w:ascii="Arial" w:hAnsi="Arial" w:cs="Arial"/>
          <w:b/>
        </w:rPr>
        <w:t>Las empresas</w:t>
      </w:r>
      <w:r w:rsidRPr="003E2FF7">
        <w:rPr>
          <w:rFonts w:ascii="Arial" w:hAnsi="Arial" w:cs="Arial"/>
        </w:rPr>
        <w:t>: adoptar esquemas preventivos como el establecimiento de códigos de conducta, de mejores prácticas corporativas (controles internos, monitoreo, información financiera  pública, auditorías externas) y de mecanismos que prevengan el ofrecimiento y otorgamiento de recursos o bienes a servidores públicos, para obtener beneficios particulares o para las empresas.</w:t>
      </w:r>
    </w:p>
    <w:p w:rsidR="00A77A9C" w:rsidRPr="003E2FF7" w:rsidRDefault="00A77A9C" w:rsidP="00A77A9C">
      <w:pPr>
        <w:jc w:val="both"/>
        <w:rPr>
          <w:rFonts w:ascii="Arial" w:hAnsi="Arial" w:cs="Arial"/>
        </w:rPr>
      </w:pPr>
    </w:p>
    <w:p w:rsidR="00A77A9C" w:rsidRPr="003E2FF7" w:rsidRDefault="00A77A9C" w:rsidP="00A77A9C">
      <w:pPr>
        <w:numPr>
          <w:ilvl w:val="0"/>
          <w:numId w:val="5"/>
        </w:numPr>
        <w:jc w:val="both"/>
        <w:rPr>
          <w:rFonts w:ascii="Arial" w:hAnsi="Arial" w:cs="Arial"/>
        </w:rPr>
      </w:pPr>
      <w:r w:rsidRPr="003E2FF7">
        <w:rPr>
          <w:rFonts w:ascii="Arial" w:hAnsi="Arial" w:cs="Arial"/>
          <w:b/>
        </w:rPr>
        <w:t>Los contadores públicos</w:t>
      </w:r>
      <w:r w:rsidRPr="003E2FF7">
        <w:rPr>
          <w:rFonts w:ascii="Arial" w:hAnsi="Arial" w:cs="Arial"/>
        </w:rPr>
        <w:t>: realizar auditorías; no encubrir actividades ilícitas (doble contabilidad y transacciones indebidas, como asientos contables falsificados, informes financieros fraudulentos, transferencias sin autorización, acceso a los activos sin consentimiento de la gerencia); utilizar registros contables precisos; informar a los directivos sobre conductas ilegales.</w:t>
      </w:r>
    </w:p>
    <w:p w:rsidR="00A77A9C" w:rsidRPr="003E2FF7" w:rsidRDefault="00A77A9C" w:rsidP="00A77A9C">
      <w:pPr>
        <w:ind w:left="993"/>
        <w:jc w:val="both"/>
        <w:rPr>
          <w:rFonts w:ascii="Arial" w:hAnsi="Arial" w:cs="Arial"/>
        </w:rPr>
      </w:pPr>
    </w:p>
    <w:p w:rsidR="00A77A9C" w:rsidRPr="003E2FF7" w:rsidRDefault="00A77A9C" w:rsidP="00A77A9C">
      <w:pPr>
        <w:numPr>
          <w:ilvl w:val="0"/>
          <w:numId w:val="5"/>
        </w:numPr>
        <w:jc w:val="both"/>
        <w:rPr>
          <w:rFonts w:ascii="Arial" w:hAnsi="Arial" w:cs="Arial"/>
        </w:rPr>
      </w:pPr>
      <w:r w:rsidRPr="003E2FF7">
        <w:rPr>
          <w:rFonts w:ascii="Arial" w:hAnsi="Arial" w:cs="Arial"/>
          <w:b/>
        </w:rPr>
        <w:lastRenderedPageBreak/>
        <w:t>Los abogados</w:t>
      </w:r>
      <w:r w:rsidRPr="003E2FF7">
        <w:rPr>
          <w:rFonts w:ascii="Arial" w:hAnsi="Arial" w:cs="Arial"/>
        </w:rPr>
        <w:t>: promover el cumplimiento y revisión de la Convención (imprimir el carácter vinculatorio entre ésta y la legislación nacional); impulsar los esquemas preventivos que deben adoptar las empresas.</w:t>
      </w:r>
    </w:p>
    <w:p w:rsidR="00A77A9C" w:rsidRPr="003E2FF7" w:rsidRDefault="00A77A9C" w:rsidP="00A77A9C">
      <w:pPr>
        <w:jc w:val="both"/>
        <w:rPr>
          <w:rFonts w:ascii="Arial" w:hAnsi="Arial" w:cs="Arial"/>
        </w:rPr>
      </w:pPr>
    </w:p>
    <w:p w:rsidR="00A77A9C" w:rsidRPr="003E2FF7" w:rsidRDefault="00A77A9C" w:rsidP="00A77A9C">
      <w:pPr>
        <w:jc w:val="both"/>
        <w:rPr>
          <w:rFonts w:ascii="Arial" w:hAnsi="Arial" w:cs="Arial"/>
        </w:rPr>
      </w:pPr>
      <w:r w:rsidRPr="003E2FF7">
        <w:rPr>
          <w:rFonts w:ascii="Arial" w:hAnsi="Arial" w:cs="Arial"/>
        </w:rPr>
        <w:t xml:space="preserve">Las sanciones impuestas a las personas físicas o morales (privados) y a los servidores públicos que incumplan las recomendaciones de la Convención, implican entre otras, privación de la libertad, extradición, decomiso y/o embargo de dinero o bienes. </w:t>
      </w:r>
    </w:p>
    <w:p w:rsidR="00A77A9C" w:rsidRPr="003E2FF7" w:rsidRDefault="00A77A9C" w:rsidP="00A77A9C">
      <w:pPr>
        <w:jc w:val="both"/>
        <w:rPr>
          <w:rFonts w:ascii="Arial" w:hAnsi="Arial" w:cs="Arial"/>
        </w:rPr>
      </w:pPr>
    </w:p>
    <w:p w:rsidR="00A77A9C" w:rsidRPr="003E2FF7" w:rsidRDefault="00A77A9C" w:rsidP="00A77A9C">
      <w:pPr>
        <w:jc w:val="both"/>
        <w:rPr>
          <w:rFonts w:ascii="Arial" w:hAnsi="Arial" w:cs="Arial"/>
        </w:rPr>
      </w:pPr>
      <w:r w:rsidRPr="003E2FF7">
        <w:rPr>
          <w:rFonts w:ascii="Arial" w:hAnsi="Arial" w:cs="Arial"/>
        </w:rPr>
        <w:t>Así mismo, es importante conocer que el pago realizado a los servidores públicos extranjeros es perseguido y castigado independientemente de que el funcionario sea acusado o no. Las investigaciones pueden iniciarse por denuncia, pero también por otros medios, como la revisión de la situación patrimonial de los servidores públicos o la identificación de transacciones ilícitas, en el caso de las empresas.</w:t>
      </w:r>
    </w:p>
    <w:p w:rsidR="00A77A9C" w:rsidRPr="003E2FF7" w:rsidRDefault="00A77A9C" w:rsidP="00A77A9C">
      <w:pPr>
        <w:jc w:val="both"/>
        <w:rPr>
          <w:rFonts w:ascii="Arial" w:hAnsi="Arial" w:cs="Arial"/>
        </w:rPr>
      </w:pPr>
    </w:p>
    <w:p w:rsidR="00A77A9C" w:rsidRPr="003E2FF7" w:rsidRDefault="00A77A9C" w:rsidP="00A77A9C">
      <w:pPr>
        <w:jc w:val="both"/>
        <w:rPr>
          <w:rFonts w:ascii="Arial" w:hAnsi="Arial" w:cs="Arial"/>
        </w:rPr>
      </w:pPr>
      <w:r w:rsidRPr="003E2FF7">
        <w:rPr>
          <w:rFonts w:ascii="Arial" w:hAnsi="Arial" w:cs="Arial"/>
        </w:rPr>
        <w:t>El culpable puede ser perseguido en cualquier país firmante de la Convención, independientemente del lugar donde el acto de cohecho haya sido cometido.</w:t>
      </w:r>
    </w:p>
    <w:p w:rsidR="00A77A9C" w:rsidRPr="003E2FF7" w:rsidRDefault="00A77A9C" w:rsidP="00A77A9C">
      <w:pPr>
        <w:jc w:val="both"/>
        <w:rPr>
          <w:rFonts w:ascii="Arial" w:hAnsi="Arial" w:cs="Arial"/>
        </w:rPr>
      </w:pPr>
    </w:p>
    <w:p w:rsidR="00A77A9C" w:rsidRPr="003E2FF7" w:rsidRDefault="00A77A9C" w:rsidP="00A77A9C">
      <w:pPr>
        <w:jc w:val="both"/>
        <w:rPr>
          <w:rFonts w:ascii="Arial" w:hAnsi="Arial" w:cs="Arial"/>
        </w:rPr>
      </w:pPr>
      <w:r w:rsidRPr="003E2FF7">
        <w:rPr>
          <w:rFonts w:ascii="Arial" w:hAnsi="Arial" w:cs="Arial"/>
        </w:rPr>
        <w:t>En la medida de estos lineamientos sean conocidos por las empresas y los servidores públicos del país, estaremos contribuyendo a construir estructuras preventivas que impidan el cumplimiento de las recomendaciones de la Convención y por lo tanto de la comisión de actos de corrupción.</w:t>
      </w:r>
    </w:p>
    <w:p w:rsidR="00A77A9C" w:rsidRPr="003E2FF7" w:rsidRDefault="00A77A9C" w:rsidP="00A77A9C">
      <w:pPr>
        <w:jc w:val="both"/>
        <w:rPr>
          <w:rFonts w:ascii="Arial" w:hAnsi="Arial" w:cs="Arial"/>
        </w:rPr>
      </w:pPr>
    </w:p>
    <w:p w:rsidR="00A77A9C" w:rsidRPr="003E2FF7" w:rsidRDefault="00A77A9C" w:rsidP="00A77A9C">
      <w:pPr>
        <w:jc w:val="both"/>
        <w:rPr>
          <w:rFonts w:ascii="Arial" w:hAnsi="Arial" w:cs="Arial"/>
        </w:rPr>
      </w:pPr>
      <w:r w:rsidRPr="003E2FF7">
        <w:rPr>
          <w:rFonts w:ascii="Arial" w:hAnsi="Arial" w:cs="Arial"/>
        </w:rPr>
        <w:t xml:space="preserve">Por otra parte, es de señalar que el Código Penal Federal sanciona el cohecho en los siguientes términos: </w:t>
      </w:r>
    </w:p>
    <w:p w:rsidR="00A77A9C" w:rsidRPr="003E2FF7" w:rsidRDefault="00A77A9C" w:rsidP="00A77A9C">
      <w:pPr>
        <w:jc w:val="both"/>
        <w:rPr>
          <w:rFonts w:ascii="Arial" w:hAnsi="Arial" w:cs="Arial"/>
        </w:rPr>
      </w:pPr>
    </w:p>
    <w:p w:rsidR="00A77A9C" w:rsidRPr="003E2FF7" w:rsidRDefault="00A77A9C" w:rsidP="00A77A9C">
      <w:pPr>
        <w:jc w:val="both"/>
        <w:rPr>
          <w:rFonts w:ascii="Arial" w:hAnsi="Arial" w:cs="Arial"/>
        </w:rPr>
      </w:pPr>
      <w:r w:rsidRPr="003E2FF7">
        <w:rPr>
          <w:rFonts w:ascii="Arial" w:hAnsi="Arial" w:cs="Arial"/>
        </w:rPr>
        <w:t>“Artículo 222</w:t>
      </w:r>
    </w:p>
    <w:p w:rsidR="00A77A9C" w:rsidRPr="003E2FF7" w:rsidRDefault="00A77A9C" w:rsidP="00A77A9C">
      <w:pPr>
        <w:jc w:val="both"/>
        <w:rPr>
          <w:rFonts w:ascii="Arial" w:hAnsi="Arial" w:cs="Arial"/>
        </w:rPr>
      </w:pPr>
      <w:r w:rsidRPr="003E2FF7">
        <w:rPr>
          <w:rFonts w:ascii="Arial" w:hAnsi="Arial" w:cs="Arial"/>
        </w:rPr>
        <w:t>Cometen el delito de cohecho:</w:t>
      </w:r>
    </w:p>
    <w:p w:rsidR="00A77A9C" w:rsidRPr="003E2FF7" w:rsidRDefault="00A77A9C" w:rsidP="00A77A9C">
      <w:pPr>
        <w:jc w:val="both"/>
        <w:rPr>
          <w:rFonts w:ascii="Arial" w:hAnsi="Arial" w:cs="Arial"/>
        </w:rPr>
      </w:pPr>
    </w:p>
    <w:p w:rsidR="00A77A9C" w:rsidRPr="003E2FF7" w:rsidRDefault="00A77A9C" w:rsidP="00A77A9C">
      <w:pPr>
        <w:numPr>
          <w:ilvl w:val="0"/>
          <w:numId w:val="6"/>
        </w:numPr>
        <w:jc w:val="both"/>
        <w:rPr>
          <w:rFonts w:ascii="Arial" w:hAnsi="Arial" w:cs="Arial"/>
        </w:rPr>
      </w:pPr>
      <w:r w:rsidRPr="003E2FF7">
        <w:rPr>
          <w:rFonts w:ascii="Arial" w:hAnsi="Arial" w:cs="Arial"/>
        </w:rPr>
        <w:t xml:space="preserve">El servidor público que por sí, o por interpósita persona solicite o reciba indebidamente para sí o para otro, dinero o cualquiera otra  dádiva, o acepte una promesa, para hacer o dejar de hacer algo justo o injusto relacionado con sus funciones, y </w:t>
      </w:r>
    </w:p>
    <w:p w:rsidR="00A77A9C" w:rsidRPr="003E2FF7" w:rsidRDefault="00A77A9C" w:rsidP="00A77A9C">
      <w:pPr>
        <w:ind w:left="851" w:hanging="295"/>
        <w:jc w:val="both"/>
        <w:rPr>
          <w:rFonts w:ascii="Arial" w:hAnsi="Arial" w:cs="Arial"/>
        </w:rPr>
      </w:pPr>
    </w:p>
    <w:p w:rsidR="00A77A9C" w:rsidRPr="003E2FF7" w:rsidRDefault="00A77A9C" w:rsidP="00A77A9C">
      <w:pPr>
        <w:ind w:left="851" w:hanging="295"/>
        <w:jc w:val="both"/>
        <w:rPr>
          <w:rFonts w:ascii="Arial" w:hAnsi="Arial" w:cs="Arial"/>
        </w:rPr>
      </w:pPr>
    </w:p>
    <w:p w:rsidR="00A77A9C" w:rsidRPr="003E2FF7" w:rsidRDefault="00A77A9C" w:rsidP="00A77A9C">
      <w:pPr>
        <w:numPr>
          <w:ilvl w:val="0"/>
          <w:numId w:val="6"/>
        </w:numPr>
        <w:jc w:val="both"/>
        <w:rPr>
          <w:rFonts w:ascii="Arial" w:hAnsi="Arial" w:cs="Arial"/>
        </w:rPr>
      </w:pPr>
      <w:r w:rsidRPr="003E2FF7">
        <w:rPr>
          <w:rFonts w:ascii="Arial" w:hAnsi="Arial" w:cs="Arial"/>
        </w:rPr>
        <w:t>El que de manera espontánea dé u ofrezca dinero o cualquier otra dádiva a alguna de las personas que se mencionan en la fracción anterior, para que cualquier servidor público haga u omita un acto justo o injusto relacionado con sus funciones.</w:t>
      </w:r>
    </w:p>
    <w:p w:rsidR="00A77A9C" w:rsidRPr="003E2FF7" w:rsidRDefault="00A77A9C" w:rsidP="00A77A9C">
      <w:pPr>
        <w:jc w:val="both"/>
        <w:rPr>
          <w:rFonts w:ascii="Arial" w:hAnsi="Arial" w:cs="Arial"/>
        </w:rPr>
      </w:pPr>
    </w:p>
    <w:p w:rsidR="00A77A9C" w:rsidRPr="003E2FF7" w:rsidRDefault="00A77A9C" w:rsidP="00A77A9C">
      <w:pPr>
        <w:jc w:val="both"/>
        <w:rPr>
          <w:rFonts w:ascii="Arial" w:hAnsi="Arial" w:cs="Arial"/>
        </w:rPr>
      </w:pPr>
      <w:r w:rsidRPr="003E2FF7">
        <w:rPr>
          <w:rFonts w:ascii="Arial" w:hAnsi="Arial" w:cs="Arial"/>
        </w:rPr>
        <w:t xml:space="preserve">Al que comete el delito de cohecho se le impondrán las siguientes sanciones: </w:t>
      </w:r>
    </w:p>
    <w:p w:rsidR="00A77A9C" w:rsidRPr="003E2FF7" w:rsidRDefault="00A77A9C" w:rsidP="00A77A9C">
      <w:pPr>
        <w:jc w:val="both"/>
        <w:rPr>
          <w:rFonts w:ascii="Arial" w:hAnsi="Arial" w:cs="Arial"/>
        </w:rPr>
      </w:pPr>
    </w:p>
    <w:p w:rsidR="00A77A9C" w:rsidRPr="003E2FF7" w:rsidRDefault="00A77A9C" w:rsidP="00A77A9C">
      <w:pPr>
        <w:jc w:val="both"/>
        <w:rPr>
          <w:rFonts w:ascii="Arial" w:hAnsi="Arial" w:cs="Arial"/>
        </w:rPr>
      </w:pPr>
      <w:r w:rsidRPr="003E2FF7">
        <w:rPr>
          <w:rFonts w:ascii="Arial" w:hAnsi="Arial" w:cs="Arial"/>
        </w:rPr>
        <w:t xml:space="preserve">Cuando la cantidad o el valor de la dádiva o promesa no exceda del equivalente de quinientas veces al salario mínimo diario vigente en el Distrito Federal en el momento de cometerse el delito, o no sea </w:t>
      </w:r>
      <w:proofErr w:type="spellStart"/>
      <w:r w:rsidRPr="003E2FF7">
        <w:rPr>
          <w:rFonts w:ascii="Arial" w:hAnsi="Arial" w:cs="Arial"/>
        </w:rPr>
        <w:t>valuable</w:t>
      </w:r>
      <w:proofErr w:type="spellEnd"/>
      <w:r w:rsidRPr="003E2FF7">
        <w:rPr>
          <w:rFonts w:ascii="Arial" w:hAnsi="Arial" w:cs="Arial"/>
        </w:rPr>
        <w:t>, se impondrán de tres meses a dos años de prisión, multa de treinta a trescientas veces el salario mínimo diario vigente en el Distrito Federal en el momento de cometerse el delito y destitución e inhabilitación de tres meses a dos años para desempeñar otro empleo, cargo o comisión públicos.</w:t>
      </w:r>
    </w:p>
    <w:p w:rsidR="00A77A9C" w:rsidRPr="003E2FF7" w:rsidRDefault="00A77A9C" w:rsidP="00A77A9C">
      <w:pPr>
        <w:jc w:val="both"/>
        <w:rPr>
          <w:rFonts w:ascii="Arial" w:hAnsi="Arial" w:cs="Arial"/>
        </w:rPr>
      </w:pPr>
    </w:p>
    <w:p w:rsidR="00A77A9C" w:rsidRPr="003E2FF7" w:rsidRDefault="00A77A9C" w:rsidP="00A77A9C">
      <w:pPr>
        <w:jc w:val="both"/>
        <w:rPr>
          <w:rFonts w:ascii="Arial" w:hAnsi="Arial" w:cs="Arial"/>
        </w:rPr>
      </w:pPr>
      <w:r w:rsidRPr="003E2FF7">
        <w:rPr>
          <w:rFonts w:ascii="Arial" w:hAnsi="Arial" w:cs="Arial"/>
        </w:rPr>
        <w:t xml:space="preserve">Cuando la cantidad o valor de la dádiva, promesa o prestación exceda de quinientas veces el salario mínimo diario vigente en el Distrito Federal en el momento de cometerse el delito, se impondrán de dos años a catorce años de prisión, multa de trescientas a quinientas veces el salario mínimo diario vigente </w:t>
      </w:r>
      <w:r w:rsidRPr="003E2FF7">
        <w:rPr>
          <w:rFonts w:ascii="Arial" w:hAnsi="Arial" w:cs="Arial"/>
        </w:rPr>
        <w:lastRenderedPageBreak/>
        <w:t xml:space="preserve">en el Distrito Federal  en el momento de cometerse el delito y destitución e inhabilitación de dos años a catorce años para desempeñar otro empleo, cargo o comisión públicos. </w:t>
      </w:r>
    </w:p>
    <w:p w:rsidR="00A77A9C" w:rsidRPr="003E2FF7" w:rsidRDefault="00A77A9C" w:rsidP="00A77A9C">
      <w:pPr>
        <w:jc w:val="both"/>
        <w:rPr>
          <w:rFonts w:ascii="Arial" w:hAnsi="Arial" w:cs="Arial"/>
        </w:rPr>
      </w:pPr>
    </w:p>
    <w:p w:rsidR="00A77A9C" w:rsidRPr="003E2FF7" w:rsidRDefault="00A77A9C" w:rsidP="00A77A9C">
      <w:pPr>
        <w:jc w:val="both"/>
        <w:rPr>
          <w:rFonts w:ascii="Arial" w:hAnsi="Arial" w:cs="Arial"/>
        </w:rPr>
      </w:pPr>
      <w:r w:rsidRPr="003E2FF7">
        <w:rPr>
          <w:rFonts w:ascii="Arial" w:hAnsi="Arial" w:cs="Arial"/>
        </w:rPr>
        <w:t>En ningún caso se devolverá a los responsables del delito del cohecho, el dinero o dádivas entregadas, las mismas se aplicarán en beneficio del Estado.</w:t>
      </w:r>
    </w:p>
    <w:p w:rsidR="00A77A9C" w:rsidRPr="003E2FF7" w:rsidRDefault="00A77A9C" w:rsidP="00A77A9C">
      <w:pPr>
        <w:jc w:val="both"/>
        <w:rPr>
          <w:rFonts w:ascii="Arial" w:hAnsi="Arial" w:cs="Arial"/>
        </w:rPr>
      </w:pPr>
      <w:r w:rsidRPr="003E2FF7">
        <w:rPr>
          <w:rFonts w:ascii="Arial" w:hAnsi="Arial" w:cs="Arial"/>
        </w:rPr>
        <w:t>Capitulo XI</w:t>
      </w:r>
    </w:p>
    <w:p w:rsidR="00A77A9C" w:rsidRPr="003E2FF7" w:rsidRDefault="00A77A9C" w:rsidP="00A77A9C">
      <w:pPr>
        <w:jc w:val="both"/>
        <w:rPr>
          <w:rFonts w:ascii="Arial" w:hAnsi="Arial" w:cs="Arial"/>
        </w:rPr>
      </w:pPr>
      <w:r w:rsidRPr="003E2FF7">
        <w:rPr>
          <w:rFonts w:ascii="Arial" w:hAnsi="Arial" w:cs="Arial"/>
        </w:rPr>
        <w:t>Cohecho a servidores públicos extranjeros</w:t>
      </w:r>
    </w:p>
    <w:p w:rsidR="00A77A9C" w:rsidRDefault="00A77A9C" w:rsidP="00A77A9C">
      <w:pPr>
        <w:jc w:val="both"/>
        <w:rPr>
          <w:rFonts w:ascii="Arial" w:hAnsi="Arial" w:cs="Arial"/>
        </w:rPr>
      </w:pPr>
    </w:p>
    <w:p w:rsidR="00A77A9C" w:rsidRPr="003E2FF7" w:rsidRDefault="00A77A9C" w:rsidP="00A77A9C">
      <w:pPr>
        <w:jc w:val="both"/>
        <w:rPr>
          <w:rFonts w:ascii="Arial" w:hAnsi="Arial" w:cs="Arial"/>
        </w:rPr>
      </w:pPr>
      <w:r w:rsidRPr="003E2FF7">
        <w:rPr>
          <w:rFonts w:ascii="Arial" w:hAnsi="Arial" w:cs="Arial"/>
        </w:rPr>
        <w:t>Artículo 222bis</w:t>
      </w:r>
    </w:p>
    <w:p w:rsidR="00A77A9C" w:rsidRPr="003E2FF7" w:rsidRDefault="00A77A9C" w:rsidP="00A77A9C">
      <w:pPr>
        <w:jc w:val="both"/>
        <w:rPr>
          <w:rFonts w:ascii="Arial" w:hAnsi="Arial" w:cs="Arial"/>
        </w:rPr>
      </w:pPr>
      <w:r w:rsidRPr="003E2FF7">
        <w:rPr>
          <w:rFonts w:ascii="Arial" w:hAnsi="Arial" w:cs="Arial"/>
        </w:rPr>
        <w:t>Se impondrán las penas previstas en el artículo anterior al que con el propósito de obtener o retener para sí o para otra persona ventajas indebidas en el desarrollo o conducción de transacciones comerciales internacionales, ofrezca, prometa o dé, por sí o por interpósita persona, dinero o cualquiera otra dádiva, ya sea en bienes o servicios:</w:t>
      </w:r>
    </w:p>
    <w:p w:rsidR="00A77A9C" w:rsidRPr="003E2FF7" w:rsidRDefault="00A77A9C" w:rsidP="00A77A9C">
      <w:pPr>
        <w:jc w:val="both"/>
        <w:rPr>
          <w:rFonts w:ascii="Arial" w:hAnsi="Arial" w:cs="Arial"/>
        </w:rPr>
      </w:pPr>
    </w:p>
    <w:p w:rsidR="00A77A9C" w:rsidRPr="003E2FF7" w:rsidRDefault="00A77A9C" w:rsidP="00A77A9C">
      <w:pPr>
        <w:numPr>
          <w:ilvl w:val="0"/>
          <w:numId w:val="7"/>
        </w:numPr>
        <w:jc w:val="both"/>
        <w:rPr>
          <w:rFonts w:ascii="Arial" w:hAnsi="Arial" w:cs="Arial"/>
        </w:rPr>
      </w:pPr>
      <w:r w:rsidRPr="003E2FF7">
        <w:rPr>
          <w:rFonts w:ascii="Arial" w:hAnsi="Arial" w:cs="Arial"/>
        </w:rPr>
        <w:t xml:space="preserve">A un servidor público extranjero para que se gestione o se abstenga de gestionar la tramitación o resolución de asuntos relacionados con las funciones inherentes a su empleo, cargo o comisión; </w:t>
      </w:r>
    </w:p>
    <w:p w:rsidR="00A77A9C" w:rsidRPr="003E2FF7" w:rsidRDefault="00A77A9C" w:rsidP="00A77A9C">
      <w:pPr>
        <w:ind w:left="851" w:hanging="284"/>
        <w:jc w:val="both"/>
        <w:rPr>
          <w:rFonts w:ascii="Arial" w:hAnsi="Arial" w:cs="Arial"/>
        </w:rPr>
      </w:pPr>
    </w:p>
    <w:p w:rsidR="00A77A9C" w:rsidRPr="003E2FF7" w:rsidRDefault="00A77A9C" w:rsidP="00A77A9C">
      <w:pPr>
        <w:numPr>
          <w:ilvl w:val="0"/>
          <w:numId w:val="7"/>
        </w:numPr>
        <w:jc w:val="both"/>
        <w:rPr>
          <w:rFonts w:ascii="Arial" w:hAnsi="Arial" w:cs="Arial"/>
        </w:rPr>
      </w:pPr>
      <w:r w:rsidRPr="003E2FF7">
        <w:rPr>
          <w:rFonts w:ascii="Arial" w:hAnsi="Arial" w:cs="Arial"/>
        </w:rPr>
        <w:t xml:space="preserve">A un servidor público extranjero para llevar a cabo la tramitación o resolución de cualquier asunto que se encuentre fuera del ámbito de las funciones inherentes a su empleo, cargo o comisión, o </w:t>
      </w:r>
    </w:p>
    <w:p w:rsidR="00A77A9C" w:rsidRPr="003E2FF7" w:rsidRDefault="00A77A9C" w:rsidP="00A77A9C">
      <w:pPr>
        <w:ind w:left="851" w:hanging="284"/>
        <w:jc w:val="both"/>
        <w:rPr>
          <w:rFonts w:ascii="Arial" w:hAnsi="Arial" w:cs="Arial"/>
        </w:rPr>
      </w:pPr>
    </w:p>
    <w:p w:rsidR="00A77A9C" w:rsidRPr="003E2FF7" w:rsidRDefault="00A77A9C" w:rsidP="00A77A9C">
      <w:pPr>
        <w:numPr>
          <w:ilvl w:val="0"/>
          <w:numId w:val="7"/>
        </w:numPr>
        <w:jc w:val="both"/>
        <w:rPr>
          <w:rFonts w:ascii="Arial" w:hAnsi="Arial" w:cs="Arial"/>
        </w:rPr>
      </w:pPr>
      <w:r w:rsidRPr="003E2FF7">
        <w:rPr>
          <w:rFonts w:ascii="Arial" w:hAnsi="Arial" w:cs="Arial"/>
        </w:rPr>
        <w:t>A cualquier persona para que acuda ante un servidor público extranjero y le requiera o le proponga llevar a cabo la tramitación o resolución de cualquier asunto relacionado con las funciones inherentes al empleo, cargo o comisión de este último.</w:t>
      </w:r>
    </w:p>
    <w:p w:rsidR="00A77A9C" w:rsidRPr="003E2FF7" w:rsidRDefault="00A77A9C" w:rsidP="00A77A9C">
      <w:pPr>
        <w:jc w:val="both"/>
        <w:rPr>
          <w:rFonts w:ascii="Arial" w:hAnsi="Arial" w:cs="Arial"/>
        </w:rPr>
      </w:pPr>
    </w:p>
    <w:p w:rsidR="00A77A9C" w:rsidRPr="003E2FF7" w:rsidRDefault="00A77A9C" w:rsidP="00A77A9C">
      <w:pPr>
        <w:jc w:val="both"/>
        <w:rPr>
          <w:rFonts w:ascii="Arial" w:hAnsi="Arial" w:cs="Arial"/>
        </w:rPr>
      </w:pPr>
      <w:r w:rsidRPr="003E2FF7">
        <w:rPr>
          <w:rFonts w:ascii="Arial" w:hAnsi="Arial" w:cs="Arial"/>
        </w:rPr>
        <w:t xml:space="preserve">Para los efectos de este artículo se entiende por servidor público extranjero, toda persona que ostente u ocupe un cargo público considerado así por la ley respectiva, en los órganos  legislativo, ejecutivo o judicial de un Estado extranjero, incluyendo las agencias o empresas autónomas, independientes o de participación estatal, en cualquier orden o nivel de gobierno, así como cualquier organismo u organización pública internacionales. </w:t>
      </w:r>
    </w:p>
    <w:p w:rsidR="00A77A9C" w:rsidRPr="003E2FF7" w:rsidRDefault="00A77A9C" w:rsidP="00A77A9C">
      <w:pPr>
        <w:jc w:val="both"/>
        <w:rPr>
          <w:rFonts w:ascii="Arial" w:hAnsi="Arial" w:cs="Arial"/>
        </w:rPr>
      </w:pPr>
    </w:p>
    <w:p w:rsidR="00A77A9C" w:rsidRPr="003E2FF7" w:rsidRDefault="00A77A9C" w:rsidP="00A77A9C">
      <w:pPr>
        <w:jc w:val="both"/>
        <w:rPr>
          <w:rFonts w:ascii="Arial" w:hAnsi="Arial" w:cs="Arial"/>
        </w:rPr>
      </w:pPr>
      <w:r w:rsidRPr="003E2FF7">
        <w:rPr>
          <w:rFonts w:ascii="Arial" w:hAnsi="Arial" w:cs="Arial"/>
        </w:rPr>
        <w:t>Cuando alguno de los delitos comprendidos en este artículo se cometa en los supuestos a que se refiere el artículo 11 de este Código, el juez impondrá a la persona moral hasta quinientos días multa y podrá decretar su suspensión o disolución tomando en consideración el grado de conocimiento de los órganos de administración respecto del cohecho en la transacción internacional y el daño causado o el beneficio obtenido por la persona moral”</w:t>
      </w:r>
    </w:p>
    <w:p w:rsidR="00A77A9C" w:rsidRPr="003E2FF7" w:rsidRDefault="00A77A9C" w:rsidP="00A77A9C">
      <w:pPr>
        <w:jc w:val="both"/>
        <w:rPr>
          <w:rFonts w:ascii="Arial" w:hAnsi="Arial" w:cs="Arial"/>
        </w:rPr>
      </w:pPr>
    </w:p>
    <w:p w:rsidR="00A77A9C" w:rsidRPr="003E2FF7" w:rsidRDefault="00A77A9C" w:rsidP="00A77A9C">
      <w:pPr>
        <w:jc w:val="center"/>
        <w:rPr>
          <w:rFonts w:ascii="Arial" w:hAnsi="Arial" w:cs="Arial"/>
          <w:b/>
        </w:rPr>
      </w:pPr>
      <w:r w:rsidRPr="003E2FF7">
        <w:rPr>
          <w:rFonts w:ascii="Arial" w:hAnsi="Arial" w:cs="Arial"/>
          <w:b/>
        </w:rPr>
        <w:t>INCONFORMIDADES</w:t>
      </w:r>
    </w:p>
    <w:p w:rsidR="00A77A9C" w:rsidRPr="003E2FF7" w:rsidRDefault="00A77A9C" w:rsidP="00A77A9C">
      <w:pPr>
        <w:jc w:val="both"/>
        <w:rPr>
          <w:rFonts w:ascii="Arial" w:hAnsi="Arial" w:cs="Arial"/>
        </w:rPr>
      </w:pPr>
    </w:p>
    <w:p w:rsidR="00A77A9C" w:rsidRPr="003E2FF7" w:rsidRDefault="00A77A9C" w:rsidP="00A77A9C">
      <w:pPr>
        <w:jc w:val="both"/>
        <w:rPr>
          <w:rFonts w:ascii="Arial" w:hAnsi="Arial" w:cs="Arial"/>
        </w:rPr>
      </w:pPr>
      <w:r w:rsidRPr="003E2FF7">
        <w:rPr>
          <w:rFonts w:ascii="Arial" w:hAnsi="Arial" w:cs="Arial"/>
        </w:rPr>
        <w:t xml:space="preserve">Las personas que participen en esta licitación, podrán inconformarse ante El Órgano Interno de Control en esta Secretaría, cita en el Centro Nacional SCT, Av. Universidad y </w:t>
      </w:r>
      <w:proofErr w:type="spellStart"/>
      <w:r w:rsidRPr="003E2FF7">
        <w:rPr>
          <w:rFonts w:ascii="Arial" w:hAnsi="Arial" w:cs="Arial"/>
        </w:rPr>
        <w:t>Xola</w:t>
      </w:r>
      <w:proofErr w:type="spellEnd"/>
      <w:r w:rsidRPr="003E2FF7">
        <w:rPr>
          <w:rFonts w:ascii="Arial" w:hAnsi="Arial" w:cs="Arial"/>
        </w:rPr>
        <w:t>, Cuerpo “A”, 1er. Piso, Ala Poniente, Col. Narvarte, Delegación Benito Juárez, C.P. 03020, en México, D. F. o a través de los medios remotos de comunicación electrónica, de conformidad al Acuerdo publicado en el Diario Oficial de la Federación el 9 de agosto del 2000; de acuerdo a lo indicado en el segundo párrafo del artículo 83 de la “LEY”, dentro de los diez días hábiles siguientes a aquél en que ocurra el acto que se considere contravenga las disposiciones o el inconforme tenga conocimiento del mismo.</w:t>
      </w:r>
    </w:p>
    <w:p w:rsidR="00A77A9C" w:rsidRDefault="00A77A9C" w:rsidP="00A77A9C">
      <w:pPr>
        <w:rPr>
          <w:rFonts w:ascii="Arial" w:hAnsi="Arial" w:cs="Arial"/>
        </w:rPr>
      </w:pPr>
    </w:p>
    <w:p w:rsidR="00A77A9C" w:rsidRDefault="00A77A9C" w:rsidP="00A77A9C">
      <w:pPr>
        <w:rPr>
          <w:rFonts w:ascii="Arial" w:hAnsi="Arial" w:cs="Arial"/>
        </w:rPr>
      </w:pPr>
    </w:p>
    <w:p w:rsidR="00A77A9C" w:rsidRDefault="00A77A9C" w:rsidP="00A77A9C">
      <w:pPr>
        <w:rPr>
          <w:rFonts w:ascii="Arial" w:hAnsi="Arial" w:cs="Arial"/>
        </w:rPr>
      </w:pPr>
    </w:p>
    <w:sectPr w:rsidR="00A77A9C" w:rsidSect="00C56EB7">
      <w:headerReference w:type="even" r:id="rId8"/>
      <w:headerReference w:type="default" r:id="rId9"/>
      <w:footerReference w:type="even" r:id="rId10"/>
      <w:footerReference w:type="default" r:id="rId11"/>
      <w:headerReference w:type="first" r:id="rId12"/>
      <w:footerReference w:type="first" r:id="rId13"/>
      <w:pgSz w:w="12240" w:h="15840"/>
      <w:pgMar w:top="1240"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5A9C" w:rsidRDefault="004D5A9C" w:rsidP="006552F7">
      <w:r>
        <w:separator/>
      </w:r>
    </w:p>
  </w:endnote>
  <w:endnote w:type="continuationSeparator" w:id="0">
    <w:p w:rsidR="004D5A9C" w:rsidRDefault="004D5A9C" w:rsidP="006552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207E" w:rsidRDefault="00D9207E">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523702"/>
      <w:docPartObj>
        <w:docPartGallery w:val="Page Numbers (Bottom of Page)"/>
        <w:docPartUnique/>
      </w:docPartObj>
    </w:sdtPr>
    <w:sdtEndPr>
      <w:rPr>
        <w:rFonts w:ascii="Arial" w:hAnsi="Arial" w:cs="Arial"/>
        <w:b/>
        <w:color w:val="808080" w:themeColor="background1" w:themeShade="80"/>
      </w:rPr>
    </w:sdtEndPr>
    <w:sdtContent>
      <w:p w:rsidR="00176129" w:rsidRDefault="00001B38">
        <w:pPr>
          <w:pStyle w:val="Piedepgina"/>
          <w:jc w:val="right"/>
        </w:pPr>
        <w:r>
          <w:fldChar w:fldCharType="begin"/>
        </w:r>
        <w:r w:rsidR="000A6C99">
          <w:instrText xml:space="preserve"> PAGE   \* MERGEFORMAT </w:instrText>
        </w:r>
        <w:r>
          <w:fldChar w:fldCharType="separate"/>
        </w:r>
        <w:r w:rsidR="00D9207E">
          <w:rPr>
            <w:noProof/>
          </w:rPr>
          <w:t>2</w:t>
        </w:r>
        <w:r>
          <w:rPr>
            <w:noProof/>
          </w:rPr>
          <w:fldChar w:fldCharType="end"/>
        </w:r>
        <w:r w:rsidR="00D254ED">
          <w:t xml:space="preserve"> de 3</w:t>
        </w:r>
      </w:p>
      <w:p w:rsidR="005B2C14" w:rsidRDefault="00176129" w:rsidP="005B3672">
        <w:pPr>
          <w:pStyle w:val="Piedepgina"/>
          <w:jc w:val="right"/>
          <w:rPr>
            <w:rFonts w:ascii="Arial" w:hAnsi="Arial" w:cs="Arial"/>
            <w:b/>
            <w:color w:val="808080" w:themeColor="background1" w:themeShade="80"/>
            <w:sz w:val="12"/>
            <w:szCs w:val="12"/>
          </w:rPr>
        </w:pPr>
        <w:r w:rsidRPr="005B3672">
          <w:rPr>
            <w:rFonts w:ascii="Arial" w:hAnsi="Arial" w:cs="Arial"/>
            <w:b/>
            <w:color w:val="808080" w:themeColor="background1" w:themeShade="80"/>
            <w:sz w:val="12"/>
            <w:szCs w:val="12"/>
          </w:rPr>
          <w:t>MP-</w:t>
        </w:r>
        <w:r w:rsidR="00BD3597" w:rsidRPr="005B3672">
          <w:rPr>
            <w:rFonts w:ascii="Arial" w:hAnsi="Arial" w:cs="Arial"/>
            <w:b/>
            <w:color w:val="808080" w:themeColor="background1" w:themeShade="80"/>
            <w:sz w:val="12"/>
            <w:szCs w:val="12"/>
          </w:rPr>
          <w:t>200</w:t>
        </w:r>
        <w:r w:rsidRPr="005B3672">
          <w:rPr>
            <w:rFonts w:ascii="Arial" w:hAnsi="Arial" w:cs="Arial"/>
            <w:b/>
            <w:color w:val="808080" w:themeColor="background1" w:themeShade="80"/>
            <w:sz w:val="12"/>
            <w:szCs w:val="12"/>
          </w:rPr>
          <w:t>-PR02-P01-F17</w:t>
        </w:r>
      </w:p>
      <w:p w:rsidR="005B3672" w:rsidRPr="005B3672" w:rsidRDefault="004D5A9C" w:rsidP="005B3672">
        <w:pPr>
          <w:pStyle w:val="Piedepgina"/>
          <w:jc w:val="right"/>
          <w:rPr>
            <w:rFonts w:ascii="Arial" w:hAnsi="Arial" w:cs="Arial"/>
            <w:b/>
            <w:color w:val="808080" w:themeColor="background1" w:themeShade="80"/>
          </w:rPr>
        </w:pPr>
      </w:p>
    </w:sdtContent>
  </w:sdt>
  <w:p w:rsidR="00D254ED" w:rsidRDefault="005B3672" w:rsidP="005B3672">
    <w:pPr>
      <w:pStyle w:val="Piedepgina"/>
      <w:jc w:val="right"/>
    </w:pPr>
    <w:r w:rsidRPr="005B3672">
      <w:rPr>
        <w:rFonts w:ascii="Arial" w:hAnsi="Arial" w:cs="Arial"/>
        <w:b/>
        <w:color w:val="808080" w:themeColor="background1" w:themeShade="80"/>
        <w:sz w:val="12"/>
        <w:szCs w:val="12"/>
      </w:rPr>
      <w:t xml:space="preserve"> </w:t>
    </w:r>
    <w:bookmarkStart w:id="0" w:name="_GoBack"/>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207E" w:rsidRDefault="00D9207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5A9C" w:rsidRDefault="004D5A9C" w:rsidP="006552F7">
      <w:r>
        <w:separator/>
      </w:r>
    </w:p>
  </w:footnote>
  <w:footnote w:type="continuationSeparator" w:id="0">
    <w:p w:rsidR="004D5A9C" w:rsidRDefault="004D5A9C" w:rsidP="006552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207E" w:rsidRDefault="00D9207E">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
      <w:tblW w:w="988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6"/>
      <w:gridCol w:w="5533"/>
    </w:tblGrid>
    <w:tr w:rsidR="00C56EB7" w:rsidTr="00333521">
      <w:trPr>
        <w:trHeight w:val="202"/>
        <w:jc w:val="center"/>
      </w:trPr>
      <w:tc>
        <w:tcPr>
          <w:tcW w:w="3175" w:type="dxa"/>
          <w:vMerge w:val="restart"/>
          <w:hideMark/>
        </w:tcPr>
        <w:p w:rsidR="00C56EB7" w:rsidRDefault="00C56EB7" w:rsidP="00333521">
          <w:r>
            <w:rPr>
              <w:noProof/>
              <w:lang w:val="es-MX" w:eastAsia="es-MX"/>
            </w:rPr>
            <w:drawing>
              <wp:inline distT="0" distB="0" distL="0" distR="0">
                <wp:extent cx="2628900" cy="1333500"/>
                <wp:effectExtent l="0" t="0" r="0" b="0"/>
                <wp:docPr id="8" name="Imagen 2" descr="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Imag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28900" cy="1333500"/>
                        </a:xfrm>
                        <a:prstGeom prst="rect">
                          <a:avLst/>
                        </a:prstGeom>
                        <a:noFill/>
                        <a:ln>
                          <a:noFill/>
                        </a:ln>
                      </pic:spPr>
                    </pic:pic>
                  </a:graphicData>
                </a:graphic>
              </wp:inline>
            </w:drawing>
          </w:r>
        </w:p>
      </w:tc>
      <w:tc>
        <w:tcPr>
          <w:tcW w:w="6714" w:type="dxa"/>
        </w:tcPr>
        <w:p w:rsidR="00C56EB7" w:rsidRDefault="00C56EB7" w:rsidP="00333521">
          <w:pPr>
            <w:pStyle w:val="Encabezado"/>
          </w:pPr>
        </w:p>
      </w:tc>
    </w:tr>
    <w:tr w:rsidR="00C56EB7" w:rsidTr="00333521">
      <w:trPr>
        <w:jc w:val="center"/>
      </w:trPr>
      <w:tc>
        <w:tcPr>
          <w:tcW w:w="0" w:type="auto"/>
          <w:vMerge/>
          <w:vAlign w:val="center"/>
          <w:hideMark/>
        </w:tcPr>
        <w:p w:rsidR="00C56EB7" w:rsidRDefault="00C56EB7" w:rsidP="00333521"/>
      </w:tc>
      <w:tc>
        <w:tcPr>
          <w:tcW w:w="6714" w:type="dxa"/>
        </w:tcPr>
        <w:p w:rsidR="00C56EB7" w:rsidRDefault="00C56EB7" w:rsidP="00333521">
          <w:pPr>
            <w:pStyle w:val="Encabezado"/>
            <w:tabs>
              <w:tab w:val="clear" w:pos="4419"/>
              <w:tab w:val="clear" w:pos="8838"/>
              <w:tab w:val="right" w:pos="9356"/>
            </w:tabs>
            <w:rPr>
              <w:rFonts w:ascii="Times New Roman" w:eastAsia="Times New Roman" w:hAnsi="Times New Roman" w:cs="Arial"/>
              <w:color w:val="808080" w:themeColor="background1" w:themeShade="80"/>
              <w:sz w:val="16"/>
              <w:szCs w:val="16"/>
              <w:lang w:val="es-ES" w:eastAsia="es-ES"/>
            </w:rPr>
          </w:pPr>
        </w:p>
      </w:tc>
    </w:tr>
    <w:tr w:rsidR="00C56EB7" w:rsidTr="00333521">
      <w:trPr>
        <w:jc w:val="center"/>
      </w:trPr>
      <w:tc>
        <w:tcPr>
          <w:tcW w:w="0" w:type="auto"/>
          <w:vMerge/>
          <w:vAlign w:val="center"/>
          <w:hideMark/>
        </w:tcPr>
        <w:p w:rsidR="00C56EB7" w:rsidRDefault="00C56EB7" w:rsidP="00333521"/>
      </w:tc>
      <w:tc>
        <w:tcPr>
          <w:tcW w:w="6714" w:type="dxa"/>
          <w:hideMark/>
        </w:tcPr>
        <w:p w:rsidR="00C56EB7" w:rsidRDefault="004D5A9C" w:rsidP="00333521">
          <w:pPr>
            <w:pStyle w:val="Encabezado"/>
            <w:tabs>
              <w:tab w:val="clear" w:pos="8838"/>
              <w:tab w:val="right" w:pos="9356"/>
            </w:tabs>
            <w:rPr>
              <w:rStyle w:val="Arial11"/>
            </w:rPr>
          </w:pPr>
          <w:sdt>
            <w:sdtPr>
              <w:rPr>
                <w:rStyle w:val="Arial11"/>
                <w:b/>
              </w:rPr>
              <w:tag w:val="1"/>
              <w:id w:val="193794976"/>
              <w:placeholder>
                <w:docPart w:val="9DAAA309BD61432FB1D8000A2087991E"/>
              </w:placeholder>
              <w:showingPlcHdr/>
              <w:docPartList>
                <w:docPartGallery w:val="Quick Parts"/>
              </w:docPartList>
            </w:sdtPr>
            <w:sdtEndPr>
              <w:rPr>
                <w:rStyle w:val="Arial11"/>
              </w:rPr>
            </w:sdtEndPr>
            <w:sdtContent>
              <w:r w:rsidR="00C56EB7" w:rsidRPr="00A558E1">
                <w:rPr>
                  <w:rStyle w:val="Arial11"/>
                  <w:i/>
                  <w:color w:val="808080" w:themeColor="background1" w:themeShade="80"/>
                  <w:sz w:val="16"/>
                  <w:szCs w:val="16"/>
                </w:rPr>
                <w:t>(1 Subsecretaría, Oficialía Mayor o Coordinación)</w:t>
              </w:r>
            </w:sdtContent>
          </w:sdt>
        </w:p>
        <w:sdt>
          <w:sdtPr>
            <w:rPr>
              <w:rStyle w:val="Arial11"/>
              <w:color w:val="808080" w:themeColor="background1" w:themeShade="80"/>
              <w:szCs w:val="16"/>
            </w:rPr>
            <w:tag w:val="2"/>
            <w:id w:val="193794982"/>
            <w:placeholder>
              <w:docPart w:val="A93172E116E24780860B223635525AED"/>
            </w:placeholder>
            <w:showingPlcHdr/>
            <w:docPartList>
              <w:docPartGallery w:val="Quick Parts"/>
            </w:docPartList>
          </w:sdtPr>
          <w:sdtEndPr>
            <w:rPr>
              <w:rStyle w:val="Arial11"/>
            </w:rPr>
          </w:sdtEndPr>
          <w:sdtContent>
            <w:p w:rsidR="00C56EB7" w:rsidRDefault="00C56EB7" w:rsidP="00333521">
              <w:pPr>
                <w:pStyle w:val="Encabezado"/>
                <w:tabs>
                  <w:tab w:val="right" w:pos="9356"/>
                </w:tabs>
                <w:rPr>
                  <w:rStyle w:val="Arial11"/>
                  <w:rFonts w:cs="Arial"/>
                  <w:color w:val="808080" w:themeColor="background1" w:themeShade="80"/>
                  <w:szCs w:val="16"/>
                </w:rPr>
              </w:pPr>
              <w:r>
                <w:rPr>
                  <w:rFonts w:ascii="Arial" w:hAnsi="Arial" w:cs="Arial"/>
                  <w:i/>
                  <w:color w:val="808080" w:themeColor="background1" w:themeShade="80"/>
                  <w:sz w:val="16"/>
                  <w:szCs w:val="16"/>
                </w:rPr>
                <w:t>(2 Nombre de la Unidad Administrativa responsable de la contratación)</w:t>
              </w:r>
            </w:p>
          </w:sdtContent>
        </w:sdt>
        <w:p w:rsidR="00C56EB7" w:rsidRDefault="004D5A9C" w:rsidP="00333521">
          <w:pPr>
            <w:pStyle w:val="Encabezado"/>
            <w:tabs>
              <w:tab w:val="clear" w:pos="8838"/>
              <w:tab w:val="right" w:pos="9356"/>
            </w:tabs>
            <w:rPr>
              <w:rFonts w:ascii="Times New Roman" w:eastAsia="Times New Roman" w:hAnsi="Times New Roman"/>
              <w:sz w:val="20"/>
              <w:szCs w:val="20"/>
              <w:lang w:val="es-ES" w:eastAsia="es-ES"/>
            </w:rPr>
          </w:pPr>
          <w:sdt>
            <w:sdtPr>
              <w:rPr>
                <w:rStyle w:val="Arial11"/>
                <w:b/>
              </w:rPr>
              <w:tag w:val="3"/>
              <w:id w:val="193794988"/>
              <w:placeholder>
                <w:docPart w:val="CFA98DEF2E2D414782F345D818056952"/>
              </w:placeholder>
              <w:showingPlcHdr/>
              <w:docPartList>
                <w:docPartGallery w:val="Quick Parts"/>
              </w:docPartList>
            </w:sdtPr>
            <w:sdtEndPr>
              <w:rPr>
                <w:rStyle w:val="Arial11"/>
              </w:rPr>
            </w:sdtEndPr>
            <w:sdtContent>
              <w:r w:rsidR="00C56EB7" w:rsidRPr="00A558E1">
                <w:rPr>
                  <w:rStyle w:val="Arial11"/>
                  <w:i/>
                  <w:color w:val="808080" w:themeColor="background1" w:themeShade="80"/>
                  <w:sz w:val="16"/>
                  <w:szCs w:val="16"/>
                </w:rPr>
                <w:t>(3 Nombre del área responsable de la contratación)</w:t>
              </w:r>
            </w:sdtContent>
          </w:sdt>
        </w:p>
      </w:tc>
    </w:tr>
  </w:tbl>
  <w:p w:rsidR="006552F7" w:rsidRPr="00C56EB7" w:rsidRDefault="006552F7" w:rsidP="00C56EB7">
    <w:pPr>
      <w:pStyle w:val="Encabezado"/>
      <w:rPr>
        <w:rFonts w:ascii="Arial" w:hAnsi="Arial" w:cs="Arial"/>
        <w:sz w:val="20"/>
        <w:szCs w:val="20"/>
        <w:lang w:val="es-E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207E" w:rsidRDefault="00D9207E">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4E03C2"/>
    <w:multiLevelType w:val="hybridMultilevel"/>
    <w:tmpl w:val="536A846C"/>
    <w:lvl w:ilvl="0" w:tplc="080A000F">
      <w:start w:val="1"/>
      <w:numFmt w:val="decimal"/>
      <w:lvlText w:val="%1."/>
      <w:lvlJc w:val="left"/>
      <w:pPr>
        <w:ind w:left="720" w:hanging="360"/>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
    <w:nsid w:val="31DC07AD"/>
    <w:multiLevelType w:val="singleLevel"/>
    <w:tmpl w:val="0C0A0007"/>
    <w:lvl w:ilvl="0">
      <w:start w:val="1"/>
      <w:numFmt w:val="bullet"/>
      <w:lvlText w:val=""/>
      <w:lvlJc w:val="left"/>
      <w:pPr>
        <w:tabs>
          <w:tab w:val="num" w:pos="360"/>
        </w:tabs>
        <w:ind w:left="360" w:hanging="360"/>
      </w:pPr>
      <w:rPr>
        <w:rFonts w:ascii="Wingdings" w:hAnsi="Wingdings" w:hint="default"/>
        <w:sz w:val="16"/>
      </w:rPr>
    </w:lvl>
  </w:abstractNum>
  <w:abstractNum w:abstractNumId="2">
    <w:nsid w:val="37CD68D7"/>
    <w:multiLevelType w:val="singleLevel"/>
    <w:tmpl w:val="0C0A0007"/>
    <w:lvl w:ilvl="0">
      <w:start w:val="1"/>
      <w:numFmt w:val="bullet"/>
      <w:lvlText w:val=""/>
      <w:lvlJc w:val="left"/>
      <w:pPr>
        <w:tabs>
          <w:tab w:val="num" w:pos="360"/>
        </w:tabs>
        <w:ind w:left="360" w:hanging="360"/>
      </w:pPr>
      <w:rPr>
        <w:rFonts w:ascii="Wingdings" w:hAnsi="Wingdings" w:hint="default"/>
        <w:sz w:val="16"/>
      </w:rPr>
    </w:lvl>
  </w:abstractNum>
  <w:abstractNum w:abstractNumId="3">
    <w:nsid w:val="45341BDB"/>
    <w:multiLevelType w:val="singleLevel"/>
    <w:tmpl w:val="0C0A0013"/>
    <w:lvl w:ilvl="0">
      <w:start w:val="1"/>
      <w:numFmt w:val="upperRoman"/>
      <w:lvlText w:val="%1."/>
      <w:lvlJc w:val="left"/>
      <w:pPr>
        <w:tabs>
          <w:tab w:val="num" w:pos="720"/>
        </w:tabs>
        <w:ind w:left="720" w:hanging="720"/>
      </w:pPr>
    </w:lvl>
  </w:abstractNum>
  <w:abstractNum w:abstractNumId="4">
    <w:nsid w:val="4E054F52"/>
    <w:multiLevelType w:val="singleLevel"/>
    <w:tmpl w:val="0C0A0007"/>
    <w:lvl w:ilvl="0">
      <w:start w:val="1"/>
      <w:numFmt w:val="bullet"/>
      <w:lvlText w:val=""/>
      <w:lvlJc w:val="left"/>
      <w:pPr>
        <w:tabs>
          <w:tab w:val="num" w:pos="360"/>
        </w:tabs>
        <w:ind w:left="360" w:hanging="360"/>
      </w:pPr>
      <w:rPr>
        <w:rFonts w:ascii="Wingdings" w:hAnsi="Wingdings" w:hint="default"/>
        <w:sz w:val="16"/>
      </w:rPr>
    </w:lvl>
  </w:abstractNum>
  <w:abstractNum w:abstractNumId="5">
    <w:nsid w:val="54212A82"/>
    <w:multiLevelType w:val="singleLevel"/>
    <w:tmpl w:val="0C0A0013"/>
    <w:lvl w:ilvl="0">
      <w:start w:val="1"/>
      <w:numFmt w:val="upperRoman"/>
      <w:lvlText w:val="%1."/>
      <w:lvlJc w:val="left"/>
      <w:pPr>
        <w:tabs>
          <w:tab w:val="num" w:pos="720"/>
        </w:tabs>
        <w:ind w:left="720" w:hanging="720"/>
      </w:pPr>
    </w:lvl>
  </w:abstractNum>
  <w:abstractNum w:abstractNumId="6">
    <w:nsid w:val="6665773A"/>
    <w:multiLevelType w:val="singleLevel"/>
    <w:tmpl w:val="0C0A0007"/>
    <w:lvl w:ilvl="0">
      <w:start w:val="1"/>
      <w:numFmt w:val="bullet"/>
      <w:lvlText w:val=""/>
      <w:lvlJc w:val="left"/>
      <w:pPr>
        <w:tabs>
          <w:tab w:val="num" w:pos="360"/>
        </w:tabs>
        <w:ind w:left="360" w:hanging="360"/>
      </w:pPr>
      <w:rPr>
        <w:rFonts w:ascii="Wingdings" w:hAnsi="Wingdings" w:hint="default"/>
        <w:sz w:val="16"/>
      </w:rPr>
    </w:lvl>
  </w:abstractNum>
  <w:num w:numId="1">
    <w:abstractNumId w:val="0"/>
  </w:num>
  <w:num w:numId="2">
    <w:abstractNumId w:val="6"/>
  </w:num>
  <w:num w:numId="3">
    <w:abstractNumId w:val="1"/>
  </w:num>
  <w:num w:numId="4">
    <w:abstractNumId w:val="2"/>
  </w:num>
  <w:num w:numId="5">
    <w:abstractNumId w:val="4"/>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52F7"/>
    <w:rsid w:val="00001B38"/>
    <w:rsid w:val="00022ADE"/>
    <w:rsid w:val="00032855"/>
    <w:rsid w:val="00032BA2"/>
    <w:rsid w:val="00034EF5"/>
    <w:rsid w:val="000642E7"/>
    <w:rsid w:val="00096B8B"/>
    <w:rsid w:val="000A6C99"/>
    <w:rsid w:val="000D1F86"/>
    <w:rsid w:val="001735C6"/>
    <w:rsid w:val="00176129"/>
    <w:rsid w:val="002132AF"/>
    <w:rsid w:val="00220C02"/>
    <w:rsid w:val="002348B3"/>
    <w:rsid w:val="002372F0"/>
    <w:rsid w:val="00261B77"/>
    <w:rsid w:val="00323140"/>
    <w:rsid w:val="00357BFE"/>
    <w:rsid w:val="0039066D"/>
    <w:rsid w:val="003A2A5A"/>
    <w:rsid w:val="00402136"/>
    <w:rsid w:val="004C2AE1"/>
    <w:rsid w:val="004D5A9C"/>
    <w:rsid w:val="005060B7"/>
    <w:rsid w:val="00526077"/>
    <w:rsid w:val="00544F50"/>
    <w:rsid w:val="0055381A"/>
    <w:rsid w:val="005675E4"/>
    <w:rsid w:val="005B2C14"/>
    <w:rsid w:val="005B336C"/>
    <w:rsid w:val="005B3672"/>
    <w:rsid w:val="00644639"/>
    <w:rsid w:val="00653FA3"/>
    <w:rsid w:val="006552F7"/>
    <w:rsid w:val="006D25E2"/>
    <w:rsid w:val="006E191F"/>
    <w:rsid w:val="00703967"/>
    <w:rsid w:val="0076024B"/>
    <w:rsid w:val="00761C6A"/>
    <w:rsid w:val="007729D8"/>
    <w:rsid w:val="007A365B"/>
    <w:rsid w:val="0083228D"/>
    <w:rsid w:val="008437CE"/>
    <w:rsid w:val="00855342"/>
    <w:rsid w:val="008903E2"/>
    <w:rsid w:val="008A37F8"/>
    <w:rsid w:val="009D4BD9"/>
    <w:rsid w:val="009D707D"/>
    <w:rsid w:val="00A21B3A"/>
    <w:rsid w:val="00A24769"/>
    <w:rsid w:val="00A77A9C"/>
    <w:rsid w:val="00A93BCC"/>
    <w:rsid w:val="00AB439F"/>
    <w:rsid w:val="00AF2873"/>
    <w:rsid w:val="00AF3278"/>
    <w:rsid w:val="00B0467B"/>
    <w:rsid w:val="00B95CF7"/>
    <w:rsid w:val="00BB0644"/>
    <w:rsid w:val="00BD0F88"/>
    <w:rsid w:val="00BD3597"/>
    <w:rsid w:val="00C03A26"/>
    <w:rsid w:val="00C03B93"/>
    <w:rsid w:val="00C56EB7"/>
    <w:rsid w:val="00CC51F6"/>
    <w:rsid w:val="00CE1F50"/>
    <w:rsid w:val="00D254ED"/>
    <w:rsid w:val="00D5005C"/>
    <w:rsid w:val="00D72C87"/>
    <w:rsid w:val="00D87625"/>
    <w:rsid w:val="00D9207E"/>
    <w:rsid w:val="00DA6125"/>
    <w:rsid w:val="00E356B4"/>
    <w:rsid w:val="00E426B7"/>
    <w:rsid w:val="00E45608"/>
    <w:rsid w:val="00E624FF"/>
    <w:rsid w:val="00ED3991"/>
    <w:rsid w:val="00F012D5"/>
    <w:rsid w:val="00F32B14"/>
    <w:rsid w:val="00F51FB8"/>
    <w:rsid w:val="00FD20E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1B3A"/>
    <w:pPr>
      <w:spacing w:after="0" w:line="240" w:lineRule="auto"/>
    </w:pPr>
    <w:rPr>
      <w:rFonts w:ascii="Times New Roman" w:eastAsia="Times New Roman" w:hAnsi="Times New Roman" w:cs="Times New Roman"/>
      <w:sz w:val="20"/>
      <w:szCs w:val="20"/>
      <w:lang w:val="es-ES" w:eastAsia="es-ES"/>
    </w:rPr>
  </w:style>
  <w:style w:type="paragraph" w:styleId="Ttulo1">
    <w:name w:val="heading 1"/>
    <w:basedOn w:val="Normal"/>
    <w:next w:val="Normal"/>
    <w:link w:val="Ttulo1Car"/>
    <w:qFormat/>
    <w:rsid w:val="00A21B3A"/>
    <w:pPr>
      <w:keepNext/>
      <w:outlineLvl w:val="0"/>
    </w:pPr>
    <w:rPr>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6552F7"/>
    <w:pPr>
      <w:tabs>
        <w:tab w:val="center" w:pos="4419"/>
        <w:tab w:val="right" w:pos="8838"/>
      </w:tabs>
    </w:pPr>
    <w:rPr>
      <w:rFonts w:asciiTheme="minorHAnsi" w:eastAsiaTheme="minorHAnsi" w:hAnsiTheme="minorHAnsi" w:cstheme="minorBidi"/>
      <w:sz w:val="22"/>
      <w:szCs w:val="22"/>
      <w:lang w:val="es-MX" w:eastAsia="en-US"/>
    </w:rPr>
  </w:style>
  <w:style w:type="character" w:customStyle="1" w:styleId="EncabezadoCar">
    <w:name w:val="Encabezado Car"/>
    <w:basedOn w:val="Fuentedeprrafopredeter"/>
    <w:link w:val="Encabezado"/>
    <w:uiPriority w:val="99"/>
    <w:rsid w:val="006552F7"/>
  </w:style>
  <w:style w:type="paragraph" w:styleId="Piedepgina">
    <w:name w:val="footer"/>
    <w:basedOn w:val="Normal"/>
    <w:link w:val="PiedepginaCar"/>
    <w:uiPriority w:val="99"/>
    <w:unhideWhenUsed/>
    <w:rsid w:val="006552F7"/>
    <w:pPr>
      <w:tabs>
        <w:tab w:val="center" w:pos="4419"/>
        <w:tab w:val="right" w:pos="8838"/>
      </w:tabs>
    </w:pPr>
    <w:rPr>
      <w:rFonts w:asciiTheme="minorHAnsi" w:eastAsiaTheme="minorHAnsi" w:hAnsiTheme="minorHAnsi" w:cstheme="minorBidi"/>
      <w:sz w:val="22"/>
      <w:szCs w:val="22"/>
      <w:lang w:val="es-MX" w:eastAsia="en-US"/>
    </w:rPr>
  </w:style>
  <w:style w:type="character" w:customStyle="1" w:styleId="PiedepginaCar">
    <w:name w:val="Pie de página Car"/>
    <w:basedOn w:val="Fuentedeprrafopredeter"/>
    <w:link w:val="Piedepgina"/>
    <w:uiPriority w:val="99"/>
    <w:rsid w:val="006552F7"/>
  </w:style>
  <w:style w:type="paragraph" w:styleId="Textodeglobo">
    <w:name w:val="Balloon Text"/>
    <w:basedOn w:val="Normal"/>
    <w:link w:val="TextodegloboCar"/>
    <w:uiPriority w:val="99"/>
    <w:semiHidden/>
    <w:unhideWhenUsed/>
    <w:rsid w:val="006552F7"/>
    <w:rPr>
      <w:rFonts w:ascii="Tahoma" w:eastAsiaTheme="minorHAnsi" w:hAnsi="Tahoma" w:cs="Tahoma"/>
      <w:sz w:val="16"/>
      <w:szCs w:val="16"/>
      <w:lang w:val="es-MX" w:eastAsia="en-US"/>
    </w:rPr>
  </w:style>
  <w:style w:type="character" w:customStyle="1" w:styleId="TextodegloboCar">
    <w:name w:val="Texto de globo Car"/>
    <w:basedOn w:val="Fuentedeprrafopredeter"/>
    <w:link w:val="Textodeglobo"/>
    <w:uiPriority w:val="99"/>
    <w:semiHidden/>
    <w:rsid w:val="006552F7"/>
    <w:rPr>
      <w:rFonts w:ascii="Tahoma" w:hAnsi="Tahoma" w:cs="Tahoma"/>
      <w:sz w:val="16"/>
      <w:szCs w:val="16"/>
    </w:rPr>
  </w:style>
  <w:style w:type="character" w:customStyle="1" w:styleId="Ttulo1Car">
    <w:name w:val="Título 1 Car"/>
    <w:basedOn w:val="Fuentedeprrafopredeter"/>
    <w:link w:val="Ttulo1"/>
    <w:rsid w:val="00A21B3A"/>
    <w:rPr>
      <w:rFonts w:ascii="Times New Roman" w:eastAsia="Times New Roman" w:hAnsi="Times New Roman" w:cs="Times New Roman"/>
      <w:b/>
      <w:sz w:val="20"/>
      <w:szCs w:val="20"/>
      <w:lang w:val="es-ES" w:eastAsia="es-ES"/>
    </w:rPr>
  </w:style>
  <w:style w:type="paragraph" w:styleId="Textoindependiente">
    <w:name w:val="Body Text"/>
    <w:basedOn w:val="Normal"/>
    <w:link w:val="TextoindependienteCar"/>
    <w:rsid w:val="00A21B3A"/>
    <w:pPr>
      <w:jc w:val="both"/>
    </w:pPr>
  </w:style>
  <w:style w:type="character" w:customStyle="1" w:styleId="TextoindependienteCar">
    <w:name w:val="Texto independiente Car"/>
    <w:basedOn w:val="Fuentedeprrafopredeter"/>
    <w:link w:val="Textoindependiente"/>
    <w:rsid w:val="00A21B3A"/>
    <w:rPr>
      <w:rFonts w:ascii="Times New Roman" w:eastAsia="Times New Roman" w:hAnsi="Times New Roman" w:cs="Times New Roman"/>
      <w:sz w:val="20"/>
      <w:szCs w:val="20"/>
      <w:lang w:val="es-ES" w:eastAsia="es-ES"/>
    </w:rPr>
  </w:style>
  <w:style w:type="paragraph" w:styleId="Sangra2detindependiente">
    <w:name w:val="Body Text Indent 2"/>
    <w:basedOn w:val="Normal"/>
    <w:link w:val="Sangra2detindependienteCar"/>
    <w:uiPriority w:val="99"/>
    <w:semiHidden/>
    <w:unhideWhenUsed/>
    <w:rsid w:val="00AF2873"/>
    <w:pPr>
      <w:spacing w:after="120" w:line="480" w:lineRule="auto"/>
      <w:ind w:left="283"/>
    </w:pPr>
  </w:style>
  <w:style w:type="character" w:customStyle="1" w:styleId="Sangra2detindependienteCar">
    <w:name w:val="Sangría 2 de t. independiente Car"/>
    <w:basedOn w:val="Fuentedeprrafopredeter"/>
    <w:link w:val="Sangra2detindependiente"/>
    <w:uiPriority w:val="99"/>
    <w:semiHidden/>
    <w:rsid w:val="00AF2873"/>
    <w:rPr>
      <w:rFonts w:ascii="Times New Roman" w:eastAsia="Times New Roman" w:hAnsi="Times New Roman" w:cs="Times New Roman"/>
      <w:sz w:val="20"/>
      <w:szCs w:val="20"/>
      <w:lang w:val="es-ES" w:eastAsia="es-ES"/>
    </w:rPr>
  </w:style>
  <w:style w:type="table" w:styleId="Tablaconcuadrcula">
    <w:name w:val="Table Grid"/>
    <w:basedOn w:val="Tablanormal"/>
    <w:uiPriority w:val="59"/>
    <w:rsid w:val="00C56EB7"/>
    <w:pPr>
      <w:spacing w:after="0" w:line="240" w:lineRule="auto"/>
    </w:pPr>
    <w:rPr>
      <w:rFonts w:eastAsiaTheme="minorEastAsia"/>
      <w:lang w:eastAsia="es-MX"/>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rial11">
    <w:name w:val="Arial 11"/>
    <w:basedOn w:val="Fuentedeprrafopredeter"/>
    <w:uiPriority w:val="1"/>
    <w:rsid w:val="00C56EB7"/>
    <w:rPr>
      <w:rFonts w:ascii="Arial" w:hAnsi="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1B3A"/>
    <w:pPr>
      <w:spacing w:after="0" w:line="240" w:lineRule="auto"/>
    </w:pPr>
    <w:rPr>
      <w:rFonts w:ascii="Times New Roman" w:eastAsia="Times New Roman" w:hAnsi="Times New Roman" w:cs="Times New Roman"/>
      <w:sz w:val="20"/>
      <w:szCs w:val="20"/>
      <w:lang w:val="es-ES" w:eastAsia="es-ES"/>
    </w:rPr>
  </w:style>
  <w:style w:type="paragraph" w:styleId="Ttulo1">
    <w:name w:val="heading 1"/>
    <w:basedOn w:val="Normal"/>
    <w:next w:val="Normal"/>
    <w:link w:val="Ttulo1Car"/>
    <w:qFormat/>
    <w:rsid w:val="00A21B3A"/>
    <w:pPr>
      <w:keepNext/>
      <w:outlineLvl w:val="0"/>
    </w:pPr>
    <w:rPr>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6552F7"/>
    <w:pPr>
      <w:tabs>
        <w:tab w:val="center" w:pos="4419"/>
        <w:tab w:val="right" w:pos="8838"/>
      </w:tabs>
    </w:pPr>
    <w:rPr>
      <w:rFonts w:asciiTheme="minorHAnsi" w:eastAsiaTheme="minorHAnsi" w:hAnsiTheme="minorHAnsi" w:cstheme="minorBidi"/>
      <w:sz w:val="22"/>
      <w:szCs w:val="22"/>
      <w:lang w:val="es-MX" w:eastAsia="en-US"/>
    </w:rPr>
  </w:style>
  <w:style w:type="character" w:customStyle="1" w:styleId="EncabezadoCar">
    <w:name w:val="Encabezado Car"/>
    <w:basedOn w:val="Fuentedeprrafopredeter"/>
    <w:link w:val="Encabezado"/>
    <w:uiPriority w:val="99"/>
    <w:rsid w:val="006552F7"/>
  </w:style>
  <w:style w:type="paragraph" w:styleId="Piedepgina">
    <w:name w:val="footer"/>
    <w:basedOn w:val="Normal"/>
    <w:link w:val="PiedepginaCar"/>
    <w:uiPriority w:val="99"/>
    <w:unhideWhenUsed/>
    <w:rsid w:val="006552F7"/>
    <w:pPr>
      <w:tabs>
        <w:tab w:val="center" w:pos="4419"/>
        <w:tab w:val="right" w:pos="8838"/>
      </w:tabs>
    </w:pPr>
    <w:rPr>
      <w:rFonts w:asciiTheme="minorHAnsi" w:eastAsiaTheme="minorHAnsi" w:hAnsiTheme="minorHAnsi" w:cstheme="minorBidi"/>
      <w:sz w:val="22"/>
      <w:szCs w:val="22"/>
      <w:lang w:val="es-MX" w:eastAsia="en-US"/>
    </w:rPr>
  </w:style>
  <w:style w:type="character" w:customStyle="1" w:styleId="PiedepginaCar">
    <w:name w:val="Pie de página Car"/>
    <w:basedOn w:val="Fuentedeprrafopredeter"/>
    <w:link w:val="Piedepgina"/>
    <w:uiPriority w:val="99"/>
    <w:rsid w:val="006552F7"/>
  </w:style>
  <w:style w:type="paragraph" w:styleId="Textodeglobo">
    <w:name w:val="Balloon Text"/>
    <w:basedOn w:val="Normal"/>
    <w:link w:val="TextodegloboCar"/>
    <w:uiPriority w:val="99"/>
    <w:semiHidden/>
    <w:unhideWhenUsed/>
    <w:rsid w:val="006552F7"/>
    <w:rPr>
      <w:rFonts w:ascii="Tahoma" w:eastAsiaTheme="minorHAnsi" w:hAnsi="Tahoma" w:cs="Tahoma"/>
      <w:sz w:val="16"/>
      <w:szCs w:val="16"/>
      <w:lang w:val="es-MX" w:eastAsia="en-US"/>
    </w:rPr>
  </w:style>
  <w:style w:type="character" w:customStyle="1" w:styleId="TextodegloboCar">
    <w:name w:val="Texto de globo Car"/>
    <w:basedOn w:val="Fuentedeprrafopredeter"/>
    <w:link w:val="Textodeglobo"/>
    <w:uiPriority w:val="99"/>
    <w:semiHidden/>
    <w:rsid w:val="006552F7"/>
    <w:rPr>
      <w:rFonts w:ascii="Tahoma" w:hAnsi="Tahoma" w:cs="Tahoma"/>
      <w:sz w:val="16"/>
      <w:szCs w:val="16"/>
    </w:rPr>
  </w:style>
  <w:style w:type="character" w:customStyle="1" w:styleId="Ttulo1Car">
    <w:name w:val="Título 1 Car"/>
    <w:basedOn w:val="Fuentedeprrafopredeter"/>
    <w:link w:val="Ttulo1"/>
    <w:rsid w:val="00A21B3A"/>
    <w:rPr>
      <w:rFonts w:ascii="Times New Roman" w:eastAsia="Times New Roman" w:hAnsi="Times New Roman" w:cs="Times New Roman"/>
      <w:b/>
      <w:sz w:val="20"/>
      <w:szCs w:val="20"/>
      <w:lang w:val="es-ES" w:eastAsia="es-ES"/>
    </w:rPr>
  </w:style>
  <w:style w:type="paragraph" w:styleId="Textoindependiente">
    <w:name w:val="Body Text"/>
    <w:basedOn w:val="Normal"/>
    <w:link w:val="TextoindependienteCar"/>
    <w:rsid w:val="00A21B3A"/>
    <w:pPr>
      <w:jc w:val="both"/>
    </w:pPr>
  </w:style>
  <w:style w:type="character" w:customStyle="1" w:styleId="TextoindependienteCar">
    <w:name w:val="Texto independiente Car"/>
    <w:basedOn w:val="Fuentedeprrafopredeter"/>
    <w:link w:val="Textoindependiente"/>
    <w:rsid w:val="00A21B3A"/>
    <w:rPr>
      <w:rFonts w:ascii="Times New Roman" w:eastAsia="Times New Roman" w:hAnsi="Times New Roman" w:cs="Times New Roman"/>
      <w:sz w:val="20"/>
      <w:szCs w:val="20"/>
      <w:lang w:val="es-ES" w:eastAsia="es-ES"/>
    </w:rPr>
  </w:style>
  <w:style w:type="paragraph" w:styleId="Sangra2detindependiente">
    <w:name w:val="Body Text Indent 2"/>
    <w:basedOn w:val="Normal"/>
    <w:link w:val="Sangra2detindependienteCar"/>
    <w:uiPriority w:val="99"/>
    <w:semiHidden/>
    <w:unhideWhenUsed/>
    <w:rsid w:val="00AF2873"/>
    <w:pPr>
      <w:spacing w:after="120" w:line="480" w:lineRule="auto"/>
      <w:ind w:left="283"/>
    </w:pPr>
  </w:style>
  <w:style w:type="character" w:customStyle="1" w:styleId="Sangra2detindependienteCar">
    <w:name w:val="Sangría 2 de t. independiente Car"/>
    <w:basedOn w:val="Fuentedeprrafopredeter"/>
    <w:link w:val="Sangra2detindependiente"/>
    <w:uiPriority w:val="99"/>
    <w:semiHidden/>
    <w:rsid w:val="00AF2873"/>
    <w:rPr>
      <w:rFonts w:ascii="Times New Roman" w:eastAsia="Times New Roman" w:hAnsi="Times New Roman" w:cs="Times New Roman"/>
      <w:sz w:val="20"/>
      <w:szCs w:val="20"/>
      <w:lang w:val="es-ES" w:eastAsia="es-ES"/>
    </w:rPr>
  </w:style>
  <w:style w:type="table" w:styleId="Tablaconcuadrcula">
    <w:name w:val="Table Grid"/>
    <w:basedOn w:val="Tablanormal"/>
    <w:uiPriority w:val="59"/>
    <w:rsid w:val="00C56EB7"/>
    <w:pPr>
      <w:spacing w:after="0" w:line="240" w:lineRule="auto"/>
    </w:pPr>
    <w:rPr>
      <w:rFonts w:eastAsiaTheme="minorEastAsia"/>
      <w:lang w:eastAsia="es-MX"/>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rial11">
    <w:name w:val="Arial 11"/>
    <w:basedOn w:val="Fuentedeprrafopredeter"/>
    <w:uiPriority w:val="1"/>
    <w:rsid w:val="00C56EB7"/>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DAAA309BD61432FB1D8000A2087991E"/>
        <w:category>
          <w:name w:val="General"/>
          <w:gallery w:val="placeholder"/>
        </w:category>
        <w:types>
          <w:type w:val="bbPlcHdr"/>
        </w:types>
        <w:behaviors>
          <w:behavior w:val="content"/>
        </w:behaviors>
        <w:guid w:val="{2F8AFC83-B1F8-4619-B280-AEF6B7D6923F}"/>
      </w:docPartPr>
      <w:docPartBody>
        <w:p w:rsidR="00676CD1" w:rsidRDefault="008A290C" w:rsidP="008A290C">
          <w:pPr>
            <w:pStyle w:val="9DAAA309BD61432FB1D8000A2087991E"/>
          </w:pPr>
          <w:r w:rsidRPr="00A558E1">
            <w:rPr>
              <w:rStyle w:val="Arial11"/>
              <w:i/>
              <w:color w:val="808080" w:themeColor="background1" w:themeShade="80"/>
              <w:sz w:val="16"/>
              <w:szCs w:val="16"/>
            </w:rPr>
            <w:t>(1 Subsecretaría, Oficialía Mayor o Coordinación)</w:t>
          </w:r>
        </w:p>
      </w:docPartBody>
    </w:docPart>
    <w:docPart>
      <w:docPartPr>
        <w:name w:val="A93172E116E24780860B223635525AED"/>
        <w:category>
          <w:name w:val="General"/>
          <w:gallery w:val="placeholder"/>
        </w:category>
        <w:types>
          <w:type w:val="bbPlcHdr"/>
        </w:types>
        <w:behaviors>
          <w:behavior w:val="content"/>
        </w:behaviors>
        <w:guid w:val="{C16EC019-3ECC-431E-852A-30B0FE4A36EC}"/>
      </w:docPartPr>
      <w:docPartBody>
        <w:p w:rsidR="00676CD1" w:rsidRDefault="008A290C" w:rsidP="008A290C">
          <w:pPr>
            <w:pStyle w:val="A93172E116E24780860B223635525AED"/>
          </w:pPr>
          <w:r>
            <w:rPr>
              <w:rFonts w:ascii="Arial" w:hAnsi="Arial" w:cs="Arial"/>
              <w:i/>
              <w:color w:val="808080" w:themeColor="background1" w:themeShade="80"/>
              <w:sz w:val="16"/>
              <w:szCs w:val="16"/>
            </w:rPr>
            <w:t>(2 Nombre de la Unidad Administrativa responsable de la contratación)</w:t>
          </w:r>
        </w:p>
      </w:docPartBody>
    </w:docPart>
    <w:docPart>
      <w:docPartPr>
        <w:name w:val="CFA98DEF2E2D414782F345D818056952"/>
        <w:category>
          <w:name w:val="General"/>
          <w:gallery w:val="placeholder"/>
        </w:category>
        <w:types>
          <w:type w:val="bbPlcHdr"/>
        </w:types>
        <w:behaviors>
          <w:behavior w:val="content"/>
        </w:behaviors>
        <w:guid w:val="{E979653C-1C8E-4DBA-8213-DF8480DC1218}"/>
      </w:docPartPr>
      <w:docPartBody>
        <w:p w:rsidR="00676CD1" w:rsidRDefault="008A290C" w:rsidP="008A290C">
          <w:pPr>
            <w:pStyle w:val="CFA98DEF2E2D414782F345D818056952"/>
          </w:pPr>
          <w:r w:rsidRPr="00A558E1">
            <w:rPr>
              <w:rStyle w:val="Arial11"/>
              <w:i/>
              <w:color w:val="808080" w:themeColor="background1" w:themeShade="80"/>
              <w:sz w:val="16"/>
              <w:szCs w:val="16"/>
            </w:rPr>
            <w:t>(3 Nombre del área responsable de la contratación)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2"/>
  </w:compat>
  <w:rsids>
    <w:rsidRoot w:val="008A290C"/>
    <w:rsid w:val="00676CD1"/>
    <w:rsid w:val="008A290C"/>
    <w:rsid w:val="00A45843"/>
    <w:rsid w:val="00BE11D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rial11">
    <w:name w:val="Arial 11"/>
    <w:basedOn w:val="Fuentedeprrafopredeter"/>
    <w:uiPriority w:val="1"/>
    <w:rsid w:val="008A290C"/>
    <w:rPr>
      <w:rFonts w:ascii="Arial" w:hAnsi="Arial"/>
      <w:sz w:val="22"/>
    </w:rPr>
  </w:style>
  <w:style w:type="paragraph" w:customStyle="1" w:styleId="9DAAA309BD61432FB1D8000A2087991E">
    <w:name w:val="9DAAA309BD61432FB1D8000A2087991E"/>
    <w:rsid w:val="008A290C"/>
  </w:style>
  <w:style w:type="paragraph" w:customStyle="1" w:styleId="A93172E116E24780860B223635525AED">
    <w:name w:val="A93172E116E24780860B223635525AED"/>
    <w:rsid w:val="008A290C"/>
  </w:style>
  <w:style w:type="paragraph" w:customStyle="1" w:styleId="CFA98DEF2E2D414782F345D818056952">
    <w:name w:val="CFA98DEF2E2D414782F345D818056952"/>
    <w:rsid w:val="008A290C"/>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1343</Words>
  <Characters>7389</Characters>
  <Application>Microsoft Office Word</Application>
  <DocSecurity>0</DocSecurity>
  <Lines>61</Lines>
  <Paragraphs>17</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8715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Adriana</dc:creator>
  <cp:lastModifiedBy>Monica Montzerrat Perez Galindo</cp:lastModifiedBy>
  <cp:revision>4</cp:revision>
  <dcterms:created xsi:type="dcterms:W3CDTF">2014-01-31T21:28:00Z</dcterms:created>
  <dcterms:modified xsi:type="dcterms:W3CDTF">2014-02-26T23:53:00Z</dcterms:modified>
</cp:coreProperties>
</file>